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2B8C" w:rsidRDefault="002D5AD0">
      <w:pPr>
        <w:spacing w:line="360" w:lineRule="auto"/>
        <w:jc w:val="center"/>
        <w:rPr>
          <w:rFonts w:ascii="宋体" w:eastAsia="宋体" w:hAnsi="宋体" w:cs="Times New Roman"/>
          <w:b/>
          <w:sz w:val="36"/>
          <w:szCs w:val="36"/>
        </w:rPr>
      </w:pPr>
      <w:r>
        <w:rPr>
          <w:rFonts w:hint="eastAsia"/>
        </w:rPr>
        <w:fldChar w:fldCharType="begin"/>
      </w:r>
      <w:r>
        <w:instrText xml:space="preserve"> HYPERLINK "https://aiqicha.baidu.com/company_detail_31729252482126" \t "_blank" </w:instrText>
      </w:r>
      <w:r>
        <w:rPr>
          <w:rFonts w:hint="eastAsia"/>
        </w:rPr>
        <w:fldChar w:fldCharType="separate"/>
      </w:r>
      <w:r>
        <w:rPr>
          <w:rFonts w:ascii="宋体" w:eastAsia="宋体" w:hAnsi="宋体" w:cs="Times New Roman" w:hint="eastAsia"/>
          <w:b/>
          <w:sz w:val="36"/>
          <w:szCs w:val="36"/>
        </w:rPr>
        <w:t>沈阳机床股份有限公司</w:t>
      </w:r>
      <w:r>
        <w:rPr>
          <w:rFonts w:ascii="宋体" w:eastAsia="宋体" w:hAnsi="宋体" w:cs="Times New Roman" w:hint="eastAsia"/>
          <w:b/>
          <w:sz w:val="36"/>
          <w:szCs w:val="36"/>
        </w:rPr>
        <w:fldChar w:fldCharType="end"/>
      </w:r>
      <w:r>
        <w:rPr>
          <w:rFonts w:ascii="宋体" w:eastAsia="宋体" w:hAnsi="宋体" w:cs="Times New Roman" w:hint="eastAsia"/>
          <w:b/>
          <w:sz w:val="36"/>
          <w:szCs w:val="36"/>
        </w:rPr>
        <w:t>独立董事</w:t>
      </w:r>
    </w:p>
    <w:p w:rsidR="00832B8C" w:rsidRDefault="002D5AD0">
      <w:pPr>
        <w:spacing w:line="360" w:lineRule="auto"/>
        <w:jc w:val="center"/>
        <w:rPr>
          <w:rFonts w:ascii="宋体" w:eastAsia="宋体" w:hAnsi="宋体" w:cs="Times New Roman"/>
          <w:b/>
          <w:sz w:val="36"/>
          <w:szCs w:val="36"/>
        </w:rPr>
      </w:pPr>
      <w:r>
        <w:rPr>
          <w:rFonts w:ascii="宋体" w:eastAsia="宋体" w:hAnsi="宋体" w:cs="Times New Roman" w:hint="eastAsia"/>
          <w:b/>
          <w:sz w:val="36"/>
          <w:szCs w:val="36"/>
        </w:rPr>
        <w:t>关于评估机构独立性、评估假设前提合理性、评估方法与评估目的的相关性以及评估定价公允性的说明</w:t>
      </w:r>
    </w:p>
    <w:p w:rsidR="00832B8C" w:rsidRDefault="00832B8C">
      <w:pPr>
        <w:spacing w:line="360" w:lineRule="auto"/>
        <w:jc w:val="center"/>
        <w:rPr>
          <w:rFonts w:ascii="宋体" w:eastAsia="宋体" w:hAnsi="宋体" w:cs="Times New Roman"/>
          <w:b/>
          <w:sz w:val="36"/>
          <w:szCs w:val="36"/>
        </w:rPr>
      </w:pPr>
    </w:p>
    <w:p w:rsidR="00832B8C" w:rsidRDefault="002D5AD0">
      <w:pPr>
        <w:autoSpaceDE w:val="0"/>
        <w:autoSpaceDN w:val="0"/>
        <w:adjustRightInd w:val="0"/>
        <w:spacing w:line="540" w:lineRule="exact"/>
        <w:ind w:firstLineChars="200" w:firstLine="640"/>
        <w:rPr>
          <w:rFonts w:ascii="仿宋" w:eastAsia="仿宋" w:hAnsi="仿宋" w:cs="黑体"/>
          <w:color w:val="000000"/>
          <w:kern w:val="0"/>
          <w:sz w:val="32"/>
          <w:szCs w:val="32"/>
        </w:rPr>
      </w:pPr>
      <w:r>
        <w:rPr>
          <w:rFonts w:ascii="仿宋" w:eastAsia="仿宋" w:hAnsi="仿宋" w:cs="黑体" w:hint="eastAsia"/>
          <w:color w:val="000000"/>
          <w:kern w:val="0"/>
          <w:sz w:val="32"/>
          <w:szCs w:val="32"/>
        </w:rPr>
        <w:t>沈阳机床股份有限公司（以下简称“公司”、“上市公司”）拟发行股份购买通用技术集团沈阳机床有限责任公司持有的沈阳机床中捷友谊厂有限公司</w:t>
      </w:r>
      <w:r>
        <w:rPr>
          <w:rFonts w:ascii="仿宋" w:eastAsia="仿宋" w:hAnsi="仿宋" w:cs="黑体" w:hint="eastAsia"/>
          <w:color w:val="000000"/>
          <w:kern w:val="0"/>
          <w:sz w:val="32"/>
          <w:szCs w:val="32"/>
        </w:rPr>
        <w:t>100%</w:t>
      </w:r>
      <w:r>
        <w:rPr>
          <w:rFonts w:ascii="仿宋" w:eastAsia="仿宋" w:hAnsi="仿宋" w:cs="黑体" w:hint="eastAsia"/>
          <w:color w:val="000000"/>
          <w:kern w:val="0"/>
          <w:sz w:val="32"/>
          <w:szCs w:val="32"/>
        </w:rPr>
        <w:t>股权、沈阳中捷航空航天机床有限公司</w:t>
      </w:r>
      <w:r>
        <w:rPr>
          <w:rFonts w:ascii="仿宋" w:eastAsia="仿宋" w:hAnsi="仿宋" w:cs="黑体" w:hint="eastAsia"/>
          <w:color w:val="000000"/>
          <w:kern w:val="0"/>
          <w:sz w:val="32"/>
          <w:szCs w:val="32"/>
        </w:rPr>
        <w:t>100%</w:t>
      </w:r>
      <w:r>
        <w:rPr>
          <w:rFonts w:ascii="仿宋" w:eastAsia="仿宋" w:hAnsi="仿宋" w:cs="黑体" w:hint="eastAsia"/>
          <w:color w:val="000000"/>
          <w:kern w:val="0"/>
          <w:sz w:val="32"/>
          <w:szCs w:val="32"/>
        </w:rPr>
        <w:t>股权和通用技术集团机床有限公司持有的天津市天锻压力机有限公司</w:t>
      </w:r>
      <w:r>
        <w:rPr>
          <w:rFonts w:ascii="仿宋" w:eastAsia="仿宋" w:hAnsi="仿宋" w:cs="黑体" w:hint="eastAsia"/>
          <w:color w:val="000000"/>
          <w:kern w:val="0"/>
          <w:sz w:val="32"/>
          <w:szCs w:val="32"/>
        </w:rPr>
        <w:t>78.45%</w:t>
      </w:r>
      <w:r>
        <w:rPr>
          <w:rFonts w:ascii="仿宋" w:eastAsia="仿宋" w:hAnsi="仿宋" w:cs="黑体" w:hint="eastAsia"/>
          <w:color w:val="000000"/>
          <w:kern w:val="0"/>
          <w:sz w:val="32"/>
          <w:szCs w:val="32"/>
        </w:rPr>
        <w:t>股权并同步募集配套资金（以下简称“本次重组”、“本次交易”）。</w:t>
      </w:r>
    </w:p>
    <w:p w:rsidR="00832B8C" w:rsidRDefault="002D5AD0">
      <w:pPr>
        <w:pStyle w:val="a6"/>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公司聘请了沃克森（北京）国际资产评估有限公司担任本次重组的评估机构，其已就本次重组出具了相关《评估报告》。根据《上市公司治理准则》、《上市公司重大资产重组管理办法》、《上市公司独立董事管理办法》</w:t>
      </w:r>
      <w:r>
        <w:rPr>
          <w:rFonts w:ascii="仿宋" w:eastAsia="仿宋" w:hAnsi="仿宋" w:cs="Times New Roman" w:hint="eastAsia"/>
          <w:kern w:val="2"/>
          <w:sz w:val="32"/>
          <w:szCs w:val="32"/>
        </w:rPr>
        <w:t>以及《公司章程》等有关规定，作为公司独立董事，我们对本次交易所涉评估机构独立性、评估假设前提合理性、评估方法与评估目的的相关性以及评估定价公允性进行了认真审核，并基于独立判断立场就公司本次会议审议的事项发表如下独立意见：</w:t>
      </w:r>
    </w:p>
    <w:p w:rsidR="00832B8C" w:rsidRDefault="002D5AD0">
      <w:pPr>
        <w:pStyle w:val="a6"/>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bookmarkStart w:id="0" w:name="_Hlk162344295"/>
      <w:r>
        <w:rPr>
          <w:rFonts w:ascii="仿宋" w:eastAsia="仿宋" w:hAnsi="仿宋" w:cs="Times New Roman" w:hint="eastAsia"/>
          <w:kern w:val="2"/>
          <w:sz w:val="32"/>
          <w:szCs w:val="32"/>
        </w:rPr>
        <w:t>一、评估机构的独立性</w:t>
      </w:r>
    </w:p>
    <w:p w:rsidR="00832B8C" w:rsidRDefault="002D5AD0">
      <w:pPr>
        <w:pStyle w:val="a6"/>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本次重组聘请的评估机构及其经办评估师与公司、交易对方、标的公司除业务关系外无其他关联关系，亦不存在现实的及预期的利益或冲突，评估机构具有独立性。</w:t>
      </w:r>
    </w:p>
    <w:p w:rsidR="00832B8C" w:rsidRDefault="002D5AD0">
      <w:pPr>
        <w:pStyle w:val="a6"/>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二、评估假设前提的合理性</w:t>
      </w:r>
    </w:p>
    <w:p w:rsidR="00832B8C" w:rsidRDefault="002D5AD0">
      <w:pPr>
        <w:pStyle w:val="a6"/>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lastRenderedPageBreak/>
        <w:t>标的资产的评估报告的假设前提能按照国家有关法规和规定执行，遵循了市场通用的惯例或准则，符合评估对</w:t>
      </w:r>
      <w:r>
        <w:rPr>
          <w:rFonts w:ascii="仿宋" w:eastAsia="仿宋" w:hAnsi="仿宋" w:cs="Times New Roman" w:hint="eastAsia"/>
          <w:kern w:val="2"/>
          <w:sz w:val="32"/>
          <w:szCs w:val="32"/>
        </w:rPr>
        <w:t>象的实际情况，评估假设前提具有合理性。</w:t>
      </w:r>
    </w:p>
    <w:p w:rsidR="00832B8C" w:rsidRDefault="002D5AD0">
      <w:pPr>
        <w:pStyle w:val="a6"/>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三、评估方法与评估目的的相关性</w:t>
      </w:r>
    </w:p>
    <w:p w:rsidR="00832B8C" w:rsidRDefault="002D5AD0">
      <w:pPr>
        <w:pStyle w:val="a6"/>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评估机构实际评估的资产范围与委托评估的资产范围一致；评估机构在评估过程中实施了相应的评估程序，遵循了独立性、客观性、科学性、公正性等原则，运用了合</w:t>
      </w:r>
      <w:proofErr w:type="gramStart"/>
      <w:r>
        <w:rPr>
          <w:rFonts w:ascii="仿宋" w:eastAsia="仿宋" w:hAnsi="仿宋" w:cs="Times New Roman" w:hint="eastAsia"/>
          <w:kern w:val="2"/>
          <w:sz w:val="32"/>
          <w:szCs w:val="32"/>
        </w:rPr>
        <w:t>规</w:t>
      </w:r>
      <w:proofErr w:type="gramEnd"/>
      <w:r>
        <w:rPr>
          <w:rFonts w:ascii="仿宋" w:eastAsia="仿宋" w:hAnsi="仿宋" w:cs="Times New Roman" w:hint="eastAsia"/>
          <w:kern w:val="2"/>
          <w:sz w:val="32"/>
          <w:szCs w:val="32"/>
        </w:rPr>
        <w:t>且符合标的资产实际情况的评估方法，选用的参照数据、资料可靠；资产评估价值公允、准确。评估方法选用恰当，评估结论合理，评估方法与评估目的相关性一致。</w:t>
      </w:r>
    </w:p>
    <w:p w:rsidR="00832B8C" w:rsidRDefault="002D5AD0">
      <w:pPr>
        <w:pStyle w:val="a6"/>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四、评估定价的公允性</w:t>
      </w:r>
    </w:p>
    <w:p w:rsidR="00832B8C" w:rsidRDefault="002D5AD0">
      <w:pPr>
        <w:pStyle w:val="a6"/>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公司以标的资产经有权国有资产监督管理机构备案的评估结果为参考依据，经与交易对方协商确定标的资产的交易价格，标的资产的交易价</w:t>
      </w:r>
      <w:r>
        <w:rPr>
          <w:rFonts w:ascii="仿宋" w:eastAsia="仿宋" w:hAnsi="仿宋" w:cs="Times New Roman" w:hint="eastAsia"/>
          <w:kern w:val="2"/>
          <w:sz w:val="32"/>
          <w:szCs w:val="32"/>
        </w:rPr>
        <w:t>格是公允的。</w:t>
      </w:r>
    </w:p>
    <w:p w:rsidR="00832B8C" w:rsidRDefault="002D5AD0">
      <w:pPr>
        <w:pStyle w:val="a6"/>
        <w:shd w:val="clear" w:color="auto" w:fill="FFFFFF"/>
        <w:spacing w:before="0" w:beforeAutospacing="0" w:after="0" w:afterAutospacing="0" w:line="540" w:lineRule="exact"/>
        <w:ind w:firstLineChars="200" w:firstLine="640"/>
        <w:rPr>
          <w:rFonts w:ascii="仿宋" w:eastAsia="仿宋" w:hAnsi="仿宋" w:cs="Times New Roman"/>
          <w:kern w:val="2"/>
          <w:sz w:val="32"/>
          <w:szCs w:val="32"/>
        </w:rPr>
      </w:pPr>
      <w:r>
        <w:rPr>
          <w:rFonts w:ascii="仿宋" w:eastAsia="仿宋" w:hAnsi="仿宋" w:cs="Times New Roman" w:hint="eastAsia"/>
          <w:kern w:val="2"/>
          <w:sz w:val="32"/>
          <w:szCs w:val="32"/>
        </w:rPr>
        <w:t>综上，公司本次重组事项中所选聘的沃克森（北京）国际资产评估有限公司具有独立性，评估假设前提合理，评估方法与评估目的相关性一致，出具的资产评估报告评估结论合理，评估定价公允。</w:t>
      </w:r>
    </w:p>
    <w:bookmarkEnd w:id="0"/>
    <w:p w:rsidR="00832B8C" w:rsidRDefault="002D5AD0">
      <w:pPr>
        <w:ind w:firstLineChars="200" w:firstLine="640"/>
        <w:rPr>
          <w:rFonts w:ascii="仿宋" w:eastAsia="仿宋" w:hAnsi="仿宋" w:cs="宋体"/>
          <w:sz w:val="30"/>
          <w:szCs w:val="30"/>
        </w:rPr>
      </w:pPr>
      <w:r>
        <w:rPr>
          <w:rFonts w:ascii="仿宋" w:eastAsia="仿宋" w:hAnsi="仿宋" w:cs="Times New Roman" w:hint="eastAsia"/>
          <w:sz w:val="32"/>
          <w:szCs w:val="32"/>
        </w:rPr>
        <w:t>（以下无正文）</w:t>
      </w:r>
      <w:r>
        <w:rPr>
          <w:rFonts w:ascii="仿宋" w:eastAsia="仿宋" w:hAnsi="仿宋" w:cs="Times New Roman"/>
          <w:sz w:val="32"/>
          <w:szCs w:val="32"/>
        </w:rPr>
        <w:br w:type="page"/>
      </w:r>
      <w:r>
        <w:rPr>
          <w:rFonts w:ascii="仿宋" w:eastAsia="仿宋" w:hAnsi="仿宋" w:cs="宋体" w:hint="eastAsia"/>
          <w:sz w:val="30"/>
          <w:szCs w:val="30"/>
        </w:rPr>
        <w:lastRenderedPageBreak/>
        <w:t>（此页无正文，为《沈阳机床股份有限公司独立董事关于评估机构独立性、评估假设前提合理性、评估方法与评估目的的相关性以及评估定价公允性的说明》之签署页）</w:t>
      </w:r>
    </w:p>
    <w:p w:rsidR="00832B8C" w:rsidRDefault="00EF3C2E">
      <w:pPr>
        <w:spacing w:line="360" w:lineRule="auto"/>
        <w:rPr>
          <w:rFonts w:ascii="仿宋" w:eastAsia="仿宋" w:hAnsi="仿宋" w:cs="宋体"/>
          <w:b/>
          <w:sz w:val="30"/>
          <w:szCs w:val="30"/>
        </w:rPr>
      </w:pPr>
      <w:r>
        <w:rPr>
          <w:rFonts w:ascii="仿宋" w:eastAsia="仿宋" w:hAnsi="仿宋" w:cs="宋体"/>
          <w:b/>
          <w:noProof/>
          <w:sz w:val="30"/>
          <w:szCs w:val="30"/>
        </w:rPr>
        <w:drawing>
          <wp:anchor distT="0" distB="0" distL="114300" distR="114300" simplePos="0" relativeHeight="251658240" behindDoc="0" locked="0" layoutInCell="1" allowOverlap="1">
            <wp:simplePos x="0" y="0"/>
            <wp:positionH relativeFrom="column">
              <wp:posOffset>-1143000</wp:posOffset>
            </wp:positionH>
            <wp:positionV relativeFrom="paragraph">
              <wp:posOffset>-2112645</wp:posOffset>
            </wp:positionV>
            <wp:extent cx="7561592" cy="9353550"/>
            <wp:effectExtent l="0" t="0" r="1270" b="0"/>
            <wp:wrapNone/>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独立董事签字页_v1_页面_1.jpg"/>
                    <pic:cNvPicPr/>
                  </pic:nvPicPr>
                  <pic:blipFill rotWithShape="1">
                    <a:blip r:embed="rId7">
                      <a:extLst>
                        <a:ext uri="{28A0092B-C50C-407E-A947-70E740481C1C}">
                          <a14:useLocalDpi xmlns:a14="http://schemas.microsoft.com/office/drawing/2010/main" val="0"/>
                        </a:ext>
                      </a:extLst>
                    </a:blip>
                    <a:srcRect b="12478"/>
                    <a:stretch/>
                  </pic:blipFill>
                  <pic:spPr bwMode="auto">
                    <a:xfrm>
                      <a:off x="0" y="0"/>
                      <a:ext cx="7560000" cy="9351581"/>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rsidR="00832B8C" w:rsidRDefault="00832B8C">
      <w:pPr>
        <w:spacing w:line="360" w:lineRule="auto"/>
        <w:rPr>
          <w:rFonts w:ascii="仿宋" w:eastAsia="仿宋" w:hAnsi="仿宋" w:cs="宋体"/>
          <w:b/>
          <w:sz w:val="30"/>
          <w:szCs w:val="30"/>
        </w:rPr>
      </w:pPr>
    </w:p>
    <w:p w:rsidR="00832B8C" w:rsidRDefault="002D5AD0">
      <w:pPr>
        <w:spacing w:line="360" w:lineRule="auto"/>
        <w:ind w:firstLineChars="200" w:firstLine="602"/>
        <w:rPr>
          <w:rFonts w:ascii="仿宋" w:eastAsia="仿宋" w:hAnsi="仿宋" w:cs="宋体"/>
          <w:b/>
          <w:sz w:val="30"/>
          <w:szCs w:val="30"/>
        </w:rPr>
      </w:pPr>
      <w:r>
        <w:rPr>
          <w:rFonts w:ascii="仿宋" w:eastAsia="仿宋" w:hAnsi="仿宋" w:cs="宋体" w:hint="eastAsia"/>
          <w:b/>
          <w:sz w:val="30"/>
          <w:szCs w:val="30"/>
        </w:rPr>
        <w:t>独立董事签字：</w:t>
      </w:r>
    </w:p>
    <w:p w:rsidR="00832B8C" w:rsidRDefault="00832B8C">
      <w:pPr>
        <w:spacing w:line="360" w:lineRule="auto"/>
        <w:ind w:firstLineChars="200" w:firstLine="602"/>
        <w:rPr>
          <w:rFonts w:ascii="仿宋" w:eastAsia="仿宋" w:hAnsi="仿宋" w:cs="宋体"/>
          <w:b/>
          <w:sz w:val="30"/>
          <w:szCs w:val="30"/>
        </w:rPr>
      </w:pPr>
    </w:p>
    <w:p w:rsidR="00832B8C" w:rsidRDefault="00832B8C">
      <w:pPr>
        <w:spacing w:line="360" w:lineRule="auto"/>
        <w:ind w:firstLineChars="200" w:firstLine="602"/>
        <w:rPr>
          <w:rFonts w:ascii="仿宋" w:eastAsia="仿宋" w:hAnsi="仿宋" w:cs="宋体"/>
          <w:b/>
          <w:sz w:val="30"/>
          <w:szCs w:val="30"/>
        </w:rPr>
      </w:pPr>
    </w:p>
    <w:p w:rsidR="00832B8C" w:rsidRDefault="00832B8C">
      <w:pPr>
        <w:spacing w:line="360" w:lineRule="auto"/>
        <w:ind w:firstLineChars="200" w:firstLine="600"/>
        <w:rPr>
          <w:rFonts w:ascii="仿宋" w:eastAsia="仿宋" w:hAnsi="仿宋" w:cs="宋体"/>
          <w:sz w:val="30"/>
          <w:szCs w:val="30"/>
        </w:rPr>
      </w:pPr>
    </w:p>
    <w:p w:rsidR="00832B8C" w:rsidRDefault="002D5AD0">
      <w:pPr>
        <w:spacing w:line="360" w:lineRule="auto"/>
        <w:ind w:firstLineChars="200" w:firstLine="602"/>
        <w:rPr>
          <w:rFonts w:ascii="仿宋" w:eastAsia="仿宋" w:hAnsi="仿宋" w:cs="宋体"/>
          <w:b/>
          <w:sz w:val="30"/>
          <w:szCs w:val="30"/>
        </w:rPr>
      </w:pPr>
      <w:r>
        <w:rPr>
          <w:rFonts w:ascii="仿宋" w:eastAsia="仿宋" w:hAnsi="仿宋" w:cs="宋体" w:hint="eastAsia"/>
          <w:b/>
          <w:sz w:val="30"/>
          <w:szCs w:val="30"/>
          <w:u w:val="single"/>
        </w:rPr>
        <w:t xml:space="preserve">              </w:t>
      </w:r>
      <w:r>
        <w:rPr>
          <w:rFonts w:ascii="仿宋" w:eastAsia="仿宋" w:hAnsi="仿宋" w:cs="宋体" w:hint="eastAsia"/>
          <w:b/>
          <w:sz w:val="30"/>
          <w:szCs w:val="30"/>
        </w:rPr>
        <w:t xml:space="preserve">     </w:t>
      </w:r>
      <w:r>
        <w:rPr>
          <w:rFonts w:ascii="仿宋" w:eastAsia="仿宋" w:hAnsi="仿宋" w:cs="宋体" w:hint="eastAsia"/>
          <w:b/>
          <w:sz w:val="30"/>
          <w:szCs w:val="30"/>
          <w:u w:val="single"/>
        </w:rPr>
        <w:t xml:space="preserve">              </w:t>
      </w:r>
      <w:r>
        <w:rPr>
          <w:rFonts w:ascii="仿宋" w:eastAsia="仿宋" w:hAnsi="仿宋" w:cs="宋体" w:hint="eastAsia"/>
          <w:b/>
          <w:sz w:val="30"/>
          <w:szCs w:val="30"/>
        </w:rPr>
        <w:t xml:space="preserve">    </w:t>
      </w:r>
      <w:r>
        <w:rPr>
          <w:rFonts w:ascii="仿宋" w:eastAsia="仿宋" w:hAnsi="仿宋" w:cs="宋体" w:hint="eastAsia"/>
          <w:b/>
          <w:sz w:val="30"/>
          <w:szCs w:val="30"/>
          <w:u w:val="single"/>
        </w:rPr>
        <w:t xml:space="preserve">              </w:t>
      </w:r>
      <w:r>
        <w:rPr>
          <w:rFonts w:ascii="仿宋" w:eastAsia="仿宋" w:hAnsi="仿宋" w:cs="宋体" w:hint="eastAsia"/>
          <w:b/>
          <w:sz w:val="30"/>
          <w:szCs w:val="30"/>
        </w:rPr>
        <w:t xml:space="preserve">       </w:t>
      </w:r>
    </w:p>
    <w:p w:rsidR="00832B8C" w:rsidRDefault="002D5AD0">
      <w:pPr>
        <w:spacing w:line="360" w:lineRule="auto"/>
        <w:ind w:firstLineChars="200" w:firstLine="600"/>
        <w:rPr>
          <w:rFonts w:ascii="仿宋" w:eastAsia="仿宋" w:hAnsi="仿宋" w:cs="宋体"/>
          <w:bCs/>
          <w:sz w:val="30"/>
          <w:szCs w:val="30"/>
        </w:rPr>
      </w:pPr>
      <w:r>
        <w:rPr>
          <w:rFonts w:ascii="仿宋" w:eastAsia="仿宋" w:hAnsi="仿宋" w:cs="宋体" w:hint="eastAsia"/>
          <w:bCs/>
          <w:sz w:val="30"/>
          <w:szCs w:val="30"/>
        </w:rPr>
        <w:t xml:space="preserve">    </w:t>
      </w:r>
      <w:r>
        <w:rPr>
          <w:rFonts w:ascii="仿宋" w:eastAsia="仿宋" w:hAnsi="仿宋" w:cs="宋体" w:hint="eastAsia"/>
          <w:bCs/>
          <w:sz w:val="30"/>
          <w:szCs w:val="30"/>
        </w:rPr>
        <w:t>哈</w:t>
      </w:r>
      <w:r>
        <w:rPr>
          <w:rFonts w:ascii="仿宋" w:eastAsia="仿宋" w:hAnsi="仿宋" w:cs="宋体" w:hint="eastAsia"/>
          <w:bCs/>
          <w:sz w:val="30"/>
          <w:szCs w:val="30"/>
        </w:rPr>
        <w:t xml:space="preserve"> </w:t>
      </w:r>
      <w:r>
        <w:rPr>
          <w:rFonts w:ascii="仿宋" w:eastAsia="仿宋" w:hAnsi="仿宋" w:cs="宋体" w:hint="eastAsia"/>
          <w:bCs/>
          <w:sz w:val="30"/>
          <w:szCs w:val="30"/>
        </w:rPr>
        <w:t>刚</w:t>
      </w:r>
      <w:r>
        <w:rPr>
          <w:rFonts w:ascii="仿宋" w:eastAsia="仿宋" w:hAnsi="仿宋" w:cs="宋体" w:hint="eastAsia"/>
          <w:bCs/>
          <w:sz w:val="30"/>
          <w:szCs w:val="30"/>
        </w:rPr>
        <w:t xml:space="preserve">         </w:t>
      </w:r>
      <w:r>
        <w:rPr>
          <w:rFonts w:ascii="仿宋" w:eastAsia="仿宋" w:hAnsi="仿宋" w:cs="宋体"/>
          <w:bCs/>
          <w:sz w:val="30"/>
          <w:szCs w:val="30"/>
        </w:rPr>
        <w:t xml:space="preserve">  </w:t>
      </w:r>
      <w:r>
        <w:rPr>
          <w:rFonts w:ascii="仿宋" w:eastAsia="仿宋" w:hAnsi="仿宋" w:cs="宋体" w:hint="eastAsia"/>
          <w:bCs/>
          <w:sz w:val="30"/>
          <w:szCs w:val="30"/>
        </w:rPr>
        <w:t xml:space="preserve">   </w:t>
      </w:r>
      <w:r>
        <w:rPr>
          <w:rFonts w:ascii="仿宋" w:eastAsia="仿宋" w:hAnsi="仿宋" w:cs="宋体" w:hint="eastAsia"/>
          <w:bCs/>
          <w:sz w:val="30"/>
          <w:szCs w:val="30"/>
        </w:rPr>
        <w:t>王英明</w:t>
      </w:r>
      <w:r>
        <w:rPr>
          <w:rFonts w:ascii="仿宋" w:eastAsia="仿宋" w:hAnsi="仿宋" w:cs="宋体" w:hint="eastAsia"/>
          <w:bCs/>
          <w:sz w:val="30"/>
          <w:szCs w:val="30"/>
        </w:rPr>
        <w:t xml:space="preserve">       </w:t>
      </w:r>
      <w:r>
        <w:rPr>
          <w:rFonts w:ascii="仿宋" w:eastAsia="仿宋" w:hAnsi="仿宋" w:cs="宋体"/>
          <w:bCs/>
          <w:sz w:val="30"/>
          <w:szCs w:val="30"/>
        </w:rPr>
        <w:t xml:space="preserve">  </w:t>
      </w:r>
      <w:r>
        <w:rPr>
          <w:rFonts w:ascii="仿宋" w:eastAsia="仿宋" w:hAnsi="仿宋" w:cs="宋体" w:hint="eastAsia"/>
          <w:bCs/>
          <w:sz w:val="30"/>
          <w:szCs w:val="30"/>
        </w:rPr>
        <w:t xml:space="preserve">   </w:t>
      </w:r>
      <w:r>
        <w:rPr>
          <w:rFonts w:ascii="仿宋" w:eastAsia="仿宋" w:hAnsi="仿宋" w:cs="宋体" w:hint="eastAsia"/>
          <w:bCs/>
          <w:sz w:val="30"/>
          <w:szCs w:val="30"/>
        </w:rPr>
        <w:t>袁知柱</w:t>
      </w:r>
    </w:p>
    <w:p w:rsidR="00832B8C" w:rsidRDefault="00832B8C">
      <w:pPr>
        <w:spacing w:line="360" w:lineRule="auto"/>
        <w:ind w:firstLineChars="200" w:firstLine="600"/>
        <w:jc w:val="right"/>
        <w:rPr>
          <w:rFonts w:ascii="仿宋" w:eastAsia="仿宋" w:hAnsi="仿宋" w:cs="宋体"/>
          <w:sz w:val="30"/>
          <w:szCs w:val="30"/>
        </w:rPr>
      </w:pPr>
    </w:p>
    <w:p w:rsidR="00832B8C" w:rsidRDefault="00832B8C">
      <w:pPr>
        <w:spacing w:line="360" w:lineRule="auto"/>
        <w:ind w:firstLineChars="200" w:firstLine="600"/>
        <w:jc w:val="right"/>
        <w:rPr>
          <w:rFonts w:ascii="仿宋" w:eastAsia="仿宋" w:hAnsi="仿宋" w:cs="宋体"/>
          <w:sz w:val="30"/>
          <w:szCs w:val="30"/>
        </w:rPr>
      </w:pPr>
    </w:p>
    <w:p w:rsidR="00832B8C" w:rsidRDefault="00832B8C">
      <w:pPr>
        <w:spacing w:line="360" w:lineRule="auto"/>
        <w:ind w:firstLineChars="200" w:firstLine="600"/>
        <w:jc w:val="right"/>
        <w:rPr>
          <w:rFonts w:ascii="仿宋" w:eastAsia="仿宋" w:hAnsi="仿宋" w:cs="宋体"/>
          <w:sz w:val="30"/>
          <w:szCs w:val="30"/>
        </w:rPr>
      </w:pPr>
    </w:p>
    <w:p w:rsidR="00832B8C" w:rsidRDefault="002D5AD0">
      <w:pPr>
        <w:spacing w:before="120" w:afterLines="50" w:after="156" w:line="360" w:lineRule="auto"/>
        <w:ind w:firstLineChars="200" w:firstLine="600"/>
        <w:jc w:val="right"/>
        <w:rPr>
          <w:rFonts w:ascii="仿宋" w:eastAsia="仿宋" w:hAnsi="仿宋" w:cs="楷体"/>
          <w:sz w:val="30"/>
          <w:szCs w:val="30"/>
        </w:rPr>
      </w:pPr>
      <w:r>
        <w:rPr>
          <w:rFonts w:ascii="仿宋" w:eastAsia="仿宋" w:hAnsi="仿宋" w:cs="楷体" w:hint="eastAsia"/>
          <w:sz w:val="30"/>
          <w:szCs w:val="30"/>
        </w:rPr>
        <w:t>沈阳机床股份有限公司</w:t>
      </w:r>
    </w:p>
    <w:p w:rsidR="00832B8C" w:rsidRDefault="002D5AD0">
      <w:pPr>
        <w:spacing w:before="120" w:afterLines="50" w:after="156" w:line="360" w:lineRule="auto"/>
        <w:ind w:firstLineChars="200" w:firstLine="600"/>
        <w:jc w:val="right"/>
        <w:rPr>
          <w:rFonts w:ascii="仿宋" w:eastAsia="仿宋" w:hAnsi="仿宋" w:cs="楷体"/>
          <w:sz w:val="30"/>
          <w:szCs w:val="30"/>
        </w:rPr>
      </w:pPr>
      <w:r>
        <w:rPr>
          <w:rFonts w:ascii="仿宋" w:eastAsia="仿宋" w:hAnsi="仿宋" w:cs="楷体" w:hint="eastAsia"/>
          <w:sz w:val="30"/>
          <w:szCs w:val="30"/>
        </w:rPr>
        <w:t>202</w:t>
      </w:r>
      <w:r>
        <w:rPr>
          <w:rFonts w:ascii="仿宋" w:eastAsia="仿宋" w:hAnsi="仿宋" w:cs="楷体"/>
          <w:sz w:val="30"/>
          <w:szCs w:val="30"/>
        </w:rPr>
        <w:t>4</w:t>
      </w:r>
      <w:r>
        <w:rPr>
          <w:rFonts w:ascii="仿宋" w:eastAsia="仿宋" w:hAnsi="仿宋" w:cs="楷体" w:hint="eastAsia"/>
          <w:sz w:val="30"/>
          <w:szCs w:val="30"/>
        </w:rPr>
        <w:t>年</w:t>
      </w:r>
      <w:r>
        <w:rPr>
          <w:rFonts w:ascii="仿宋" w:eastAsia="仿宋" w:hAnsi="仿宋" w:cs="楷体" w:hint="eastAsia"/>
          <w:sz w:val="30"/>
          <w:szCs w:val="30"/>
        </w:rPr>
        <w:t>4</w:t>
      </w:r>
      <w:r>
        <w:rPr>
          <w:rFonts w:ascii="仿宋" w:eastAsia="仿宋" w:hAnsi="仿宋" w:cs="楷体" w:hint="eastAsia"/>
          <w:sz w:val="30"/>
          <w:szCs w:val="30"/>
        </w:rPr>
        <w:t>月</w:t>
      </w:r>
      <w:r>
        <w:rPr>
          <w:rFonts w:ascii="仿宋" w:eastAsia="仿宋" w:hAnsi="仿宋" w:cs="楷体" w:hint="eastAsia"/>
          <w:sz w:val="30"/>
          <w:szCs w:val="30"/>
        </w:rPr>
        <w:t>1</w:t>
      </w:r>
      <w:r>
        <w:rPr>
          <w:rFonts w:ascii="仿宋" w:eastAsia="仿宋" w:hAnsi="仿宋" w:cs="楷体" w:hint="eastAsia"/>
          <w:sz w:val="30"/>
          <w:szCs w:val="30"/>
        </w:rPr>
        <w:t>日</w:t>
      </w:r>
    </w:p>
    <w:p w:rsidR="00832B8C" w:rsidRDefault="00832B8C">
      <w:bookmarkStart w:id="1" w:name="_GoBack"/>
      <w:bookmarkEnd w:id="1"/>
    </w:p>
    <w:sectPr w:rsidR="00832B8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D5AD0" w:rsidRDefault="002D5AD0" w:rsidP="00EF3C2E">
      <w:r>
        <w:separator/>
      </w:r>
    </w:p>
  </w:endnote>
  <w:endnote w:type="continuationSeparator" w:id="0">
    <w:p w:rsidR="002D5AD0" w:rsidRDefault="002D5AD0" w:rsidP="00EF3C2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20002A87" w:usb1="00000000" w:usb2="00000000"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EF3C2E" w:rsidRPr="00EF3C2E" w:rsidRDefault="00EF3C2E" w:rsidP="00EF3C2E">
    <w:pPr>
      <w:pStyle w:val="a4"/>
      <w:jc w:val="center"/>
      <w:rPr>
        <w:rFonts w:ascii="Times New Roman" w:hAnsi="Times New Roman" w:cs="Times New Roman"/>
        <w:sz w:val="21"/>
        <w:szCs w:val="21"/>
      </w:rPr>
    </w:pPr>
    <w:r w:rsidRPr="00EF3C2E">
      <w:rPr>
        <w:rFonts w:ascii="Times New Roman" w:hAnsi="Times New Roman" w:cs="Times New Roman"/>
        <w:sz w:val="21"/>
        <w:szCs w:val="21"/>
      </w:rPr>
      <w:fldChar w:fldCharType="begin"/>
    </w:r>
    <w:r w:rsidRPr="00EF3C2E">
      <w:rPr>
        <w:rFonts w:ascii="Times New Roman" w:hAnsi="Times New Roman" w:cs="Times New Roman"/>
        <w:sz w:val="21"/>
        <w:szCs w:val="21"/>
      </w:rPr>
      <w:instrText>PAGE   \* MERGEFORMAT</w:instrText>
    </w:r>
    <w:r w:rsidRPr="00EF3C2E">
      <w:rPr>
        <w:rFonts w:ascii="Times New Roman" w:hAnsi="Times New Roman" w:cs="Times New Roman"/>
        <w:sz w:val="21"/>
        <w:szCs w:val="21"/>
      </w:rPr>
      <w:fldChar w:fldCharType="separate"/>
    </w:r>
    <w:r w:rsidRPr="00EF3C2E">
      <w:rPr>
        <w:rFonts w:ascii="Times New Roman" w:hAnsi="Times New Roman" w:cs="Times New Roman"/>
        <w:noProof/>
        <w:sz w:val="21"/>
        <w:szCs w:val="21"/>
        <w:lang w:val="zh-CN"/>
      </w:rPr>
      <w:t>3</w:t>
    </w:r>
    <w:r w:rsidRPr="00EF3C2E">
      <w:rPr>
        <w:rFonts w:ascii="Times New Roman" w:hAnsi="Times New Roman" w:cs="Times New Roman"/>
        <w:sz w:val="21"/>
        <w:szCs w:val="21"/>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D5AD0" w:rsidRDefault="002D5AD0" w:rsidP="00EF3C2E">
      <w:r>
        <w:separator/>
      </w:r>
    </w:p>
  </w:footnote>
  <w:footnote w:type="continuationSeparator" w:id="0">
    <w:p w:rsidR="002D5AD0" w:rsidRDefault="002D5AD0" w:rsidP="00EF3C2E">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0531C"/>
    <w:rsid w:val="000A1218"/>
    <w:rsid w:val="000C5B7D"/>
    <w:rsid w:val="000F0303"/>
    <w:rsid w:val="000F72F0"/>
    <w:rsid w:val="0018392E"/>
    <w:rsid w:val="0020127C"/>
    <w:rsid w:val="0020531C"/>
    <w:rsid w:val="002D5AD0"/>
    <w:rsid w:val="002E6983"/>
    <w:rsid w:val="00462C71"/>
    <w:rsid w:val="0046679D"/>
    <w:rsid w:val="004C2DF0"/>
    <w:rsid w:val="004C4150"/>
    <w:rsid w:val="004D54D6"/>
    <w:rsid w:val="00576E52"/>
    <w:rsid w:val="006629E3"/>
    <w:rsid w:val="00677CB8"/>
    <w:rsid w:val="00696806"/>
    <w:rsid w:val="006A0EE9"/>
    <w:rsid w:val="00737BE0"/>
    <w:rsid w:val="00773796"/>
    <w:rsid w:val="00791BD3"/>
    <w:rsid w:val="007F2002"/>
    <w:rsid w:val="00813954"/>
    <w:rsid w:val="00832B8C"/>
    <w:rsid w:val="00846463"/>
    <w:rsid w:val="0090505D"/>
    <w:rsid w:val="00927035"/>
    <w:rsid w:val="00935752"/>
    <w:rsid w:val="00A0116A"/>
    <w:rsid w:val="00A36CA0"/>
    <w:rsid w:val="00A42756"/>
    <w:rsid w:val="00A63FAE"/>
    <w:rsid w:val="00A73609"/>
    <w:rsid w:val="00AA4CBD"/>
    <w:rsid w:val="00AA6FB3"/>
    <w:rsid w:val="00AE3936"/>
    <w:rsid w:val="00B05D56"/>
    <w:rsid w:val="00B37163"/>
    <w:rsid w:val="00B72C8E"/>
    <w:rsid w:val="00B73934"/>
    <w:rsid w:val="00B91326"/>
    <w:rsid w:val="00B9516D"/>
    <w:rsid w:val="00BD6423"/>
    <w:rsid w:val="00C64954"/>
    <w:rsid w:val="00CC10B5"/>
    <w:rsid w:val="00CE3305"/>
    <w:rsid w:val="00D426AA"/>
    <w:rsid w:val="00D50A5A"/>
    <w:rsid w:val="00D8086B"/>
    <w:rsid w:val="00DC57EB"/>
    <w:rsid w:val="00DE2854"/>
    <w:rsid w:val="00EF34C4"/>
    <w:rsid w:val="00EF3C2E"/>
    <w:rsid w:val="00F06E50"/>
    <w:rsid w:val="00F1165F"/>
    <w:rsid w:val="43897361"/>
    <w:rsid w:val="585260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semiHidden/>
    <w:unhideWhenUsed/>
    <w:qFormat/>
    <w:rPr>
      <w:color w:val="0000FF"/>
      <w:u w:val="single"/>
    </w:rPr>
  </w:style>
  <w:style w:type="paragraph" w:customStyle="1" w:styleId="pagenumber">
    <w:name w:val="pagenumber"/>
    <w:basedOn w:val="a"/>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paragraph" w:customStyle="1" w:styleId="1">
    <w:name w:val="修订1"/>
    <w:hidden/>
    <w:uiPriority w:val="99"/>
    <w:semiHidden/>
    <w:qFormat/>
    <w:rPr>
      <w:kern w:val="2"/>
      <w:sz w:val="21"/>
      <w:szCs w:val="22"/>
    </w:rPr>
  </w:style>
  <w:style w:type="character" w:customStyle="1" w:styleId="Char">
    <w:name w:val="批注框文本 Char"/>
    <w:basedOn w:val="a0"/>
    <w:link w:val="a3"/>
    <w:uiPriority w:val="99"/>
    <w:semiHidden/>
    <w:rPr>
      <w:sz w:val="18"/>
      <w:szCs w:val="18"/>
    </w:rPr>
  </w:style>
  <w:style w:type="paragraph" w:customStyle="1" w:styleId="2">
    <w:name w:val="修订2"/>
    <w:hidden/>
    <w:uiPriority w:val="99"/>
    <w:unhideWhenUsed/>
    <w:rPr>
      <w:kern w:val="2"/>
      <w:sz w:val="21"/>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lsdException w:name="footer" w:semiHidden="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qFormat="1"/>
    <w:lsdException w:name="Strong" w:semiHidden="0" w:uiPriority="22" w:unhideWhenUsed="0" w:qFormat="1"/>
    <w:lsdException w:name="Emphasis" w:semiHidden="0" w:uiPriority="20" w:unhideWhenUsed="0" w:qFormat="1"/>
    <w:lsdException w:name="Normal (Web)"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Pr>
      <w:sz w:val="18"/>
      <w:szCs w:val="18"/>
    </w:rPr>
  </w:style>
  <w:style w:type="paragraph" w:styleId="a4">
    <w:name w:val="footer"/>
    <w:basedOn w:val="a"/>
    <w:link w:val="Char0"/>
    <w:uiPriority w:val="99"/>
    <w:unhideWhenUsed/>
    <w:pPr>
      <w:tabs>
        <w:tab w:val="center" w:pos="4153"/>
        <w:tab w:val="right" w:pos="8306"/>
      </w:tabs>
      <w:snapToGrid w:val="0"/>
      <w:jc w:val="left"/>
    </w:pPr>
    <w:rPr>
      <w:sz w:val="18"/>
      <w:szCs w:val="18"/>
    </w:rPr>
  </w:style>
  <w:style w:type="paragraph" w:styleId="a5">
    <w:name w:val="header"/>
    <w:basedOn w:val="a"/>
    <w:link w:val="Char1"/>
    <w:uiPriority w:val="99"/>
    <w:unhideWhenUsed/>
    <w:pPr>
      <w:tabs>
        <w:tab w:val="center" w:pos="4153"/>
        <w:tab w:val="right" w:pos="8306"/>
      </w:tabs>
      <w:snapToGrid w:val="0"/>
      <w:jc w:val="center"/>
    </w:pPr>
    <w:rPr>
      <w:sz w:val="18"/>
      <w:szCs w:val="18"/>
    </w:rPr>
  </w:style>
  <w:style w:type="paragraph" w:styleId="a6">
    <w:name w:val="Normal (Web)"/>
    <w:basedOn w:val="a"/>
    <w:uiPriority w:val="99"/>
    <w:semiHidden/>
    <w:unhideWhenUsed/>
    <w:qFormat/>
    <w:pPr>
      <w:widowControl/>
      <w:spacing w:before="100" w:beforeAutospacing="1" w:after="100" w:afterAutospacing="1"/>
      <w:jc w:val="left"/>
    </w:pPr>
    <w:rPr>
      <w:rFonts w:ascii="宋体" w:eastAsia="宋体" w:hAnsi="宋体" w:cs="宋体"/>
      <w:kern w:val="0"/>
      <w:sz w:val="24"/>
      <w:szCs w:val="24"/>
    </w:rPr>
  </w:style>
  <w:style w:type="character" w:styleId="a7">
    <w:name w:val="Hyperlink"/>
    <w:basedOn w:val="a0"/>
    <w:uiPriority w:val="99"/>
    <w:semiHidden/>
    <w:unhideWhenUsed/>
    <w:qFormat/>
    <w:rPr>
      <w:color w:val="0000FF"/>
      <w:u w:val="single"/>
    </w:rPr>
  </w:style>
  <w:style w:type="paragraph" w:customStyle="1" w:styleId="pagenumber">
    <w:name w:val="pagenumber"/>
    <w:basedOn w:val="a"/>
    <w:pPr>
      <w:widowControl/>
      <w:spacing w:before="100" w:beforeAutospacing="1" w:after="100" w:afterAutospacing="1"/>
      <w:jc w:val="left"/>
    </w:pPr>
    <w:rPr>
      <w:rFonts w:ascii="宋体" w:eastAsia="宋体" w:hAnsi="宋体" w:cs="宋体"/>
      <w:kern w:val="0"/>
      <w:sz w:val="24"/>
      <w:szCs w:val="24"/>
    </w:rPr>
  </w:style>
  <w:style w:type="character" w:customStyle="1" w:styleId="Char1">
    <w:name w:val="页眉 Char"/>
    <w:basedOn w:val="a0"/>
    <w:link w:val="a5"/>
    <w:uiPriority w:val="99"/>
    <w:rPr>
      <w:sz w:val="18"/>
      <w:szCs w:val="18"/>
    </w:rPr>
  </w:style>
  <w:style w:type="character" w:customStyle="1" w:styleId="Char0">
    <w:name w:val="页脚 Char"/>
    <w:basedOn w:val="a0"/>
    <w:link w:val="a4"/>
    <w:uiPriority w:val="99"/>
    <w:rPr>
      <w:sz w:val="18"/>
      <w:szCs w:val="18"/>
    </w:rPr>
  </w:style>
  <w:style w:type="paragraph" w:customStyle="1" w:styleId="1">
    <w:name w:val="修订1"/>
    <w:hidden/>
    <w:uiPriority w:val="99"/>
    <w:semiHidden/>
    <w:qFormat/>
    <w:rPr>
      <w:kern w:val="2"/>
      <w:sz w:val="21"/>
      <w:szCs w:val="22"/>
    </w:rPr>
  </w:style>
  <w:style w:type="character" w:customStyle="1" w:styleId="Char">
    <w:name w:val="批注框文本 Char"/>
    <w:basedOn w:val="a0"/>
    <w:link w:val="a3"/>
    <w:uiPriority w:val="99"/>
    <w:semiHidden/>
    <w:rPr>
      <w:sz w:val="18"/>
      <w:szCs w:val="18"/>
    </w:rPr>
  </w:style>
  <w:style w:type="paragraph" w:customStyle="1" w:styleId="2">
    <w:name w:val="修订2"/>
    <w:hidden/>
    <w:uiPriority w:val="99"/>
    <w:unhideWhenUsed/>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g"/><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183</Words>
  <Characters>1046</Characters>
  <Application>Microsoft Office Word</Application>
  <DocSecurity>0</DocSecurity>
  <Lines>8</Lines>
  <Paragraphs>2</Paragraphs>
  <ScaleCrop>false</ScaleCrop>
  <Company/>
  <LinksUpToDate>false</LinksUpToDate>
  <CharactersWithSpaces>1227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FD</dc:creator>
  <cp:lastModifiedBy>win10</cp:lastModifiedBy>
  <cp:revision>17</cp:revision>
  <dcterms:created xsi:type="dcterms:W3CDTF">2023-12-13T03:22:00Z</dcterms:created>
  <dcterms:modified xsi:type="dcterms:W3CDTF">2024-04-01T09:30:00Z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06B9EDDA2B564841B1AF6782B859449F</vt:lpwstr>
  </property>
</Properties>
</file>