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2A01" w:rsidRDefault="00ED75D2">
      <w:pPr>
        <w:spacing w:line="540" w:lineRule="exact"/>
        <w:jc w:val="center"/>
        <w:rPr>
          <w:rFonts w:ascii="宋体" w:eastAsia="宋体" w:hAnsi="宋体" w:cs="宋体"/>
          <w:b/>
          <w:sz w:val="36"/>
          <w:szCs w:val="36"/>
        </w:rPr>
      </w:pPr>
      <w:r>
        <w:rPr>
          <w:rFonts w:ascii="宋体" w:eastAsia="宋体" w:hAnsi="宋体" w:cs="宋体" w:hint="eastAsia"/>
          <w:b/>
          <w:sz w:val="36"/>
          <w:szCs w:val="36"/>
        </w:rPr>
        <w:t>沈阳机床股份有限公司董事会</w:t>
      </w:r>
    </w:p>
    <w:p w:rsidR="004B2A01" w:rsidRDefault="00ED75D2">
      <w:pPr>
        <w:spacing w:line="540" w:lineRule="exact"/>
        <w:jc w:val="center"/>
        <w:rPr>
          <w:rFonts w:ascii="宋体" w:eastAsia="宋体" w:hAnsi="宋体" w:cs="宋体"/>
          <w:b/>
          <w:sz w:val="36"/>
          <w:szCs w:val="36"/>
        </w:rPr>
      </w:pPr>
      <w:r>
        <w:rPr>
          <w:rFonts w:ascii="宋体" w:eastAsia="宋体" w:hAnsi="宋体" w:cs="宋体" w:hint="eastAsia"/>
          <w:b/>
          <w:sz w:val="36"/>
          <w:szCs w:val="36"/>
        </w:rPr>
        <w:t>关于本次重组前</w:t>
      </w:r>
      <w:r>
        <w:rPr>
          <w:rFonts w:ascii="宋体" w:eastAsia="宋体" w:hAnsi="宋体" w:cs="宋体"/>
          <w:b/>
          <w:sz w:val="36"/>
          <w:szCs w:val="36"/>
        </w:rPr>
        <w:t>12</w:t>
      </w:r>
      <w:r>
        <w:rPr>
          <w:rFonts w:ascii="宋体" w:eastAsia="宋体" w:hAnsi="宋体" w:cs="宋体"/>
          <w:b/>
          <w:sz w:val="36"/>
          <w:szCs w:val="36"/>
        </w:rPr>
        <w:t>个月内购买、出售资产的说明</w:t>
      </w:r>
    </w:p>
    <w:p w:rsidR="004B2A01" w:rsidRDefault="004B2A01"/>
    <w:p w:rsidR="004B2A01" w:rsidRDefault="00ED75D2">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沈阳机床股份有限公司（以下简称“公司”、“上市公司”）拟发行股份购买通用技术集团沈阳机床有限责任公司持有的沈阳机床中捷友谊厂有限公司</w:t>
      </w:r>
      <w:r>
        <w:rPr>
          <w:rFonts w:ascii="仿宋" w:eastAsia="仿宋" w:hAnsi="仿宋" w:hint="eastAsia"/>
          <w:sz w:val="32"/>
          <w:szCs w:val="32"/>
        </w:rPr>
        <w:t>1</w:t>
      </w:r>
      <w:r>
        <w:rPr>
          <w:rFonts w:ascii="仿宋" w:eastAsia="仿宋" w:hAnsi="仿宋"/>
          <w:sz w:val="32"/>
          <w:szCs w:val="32"/>
        </w:rPr>
        <w:t>00</w:t>
      </w:r>
      <w:r>
        <w:rPr>
          <w:rFonts w:ascii="仿宋" w:eastAsia="仿宋" w:hAnsi="仿宋" w:hint="eastAsia"/>
          <w:sz w:val="32"/>
          <w:szCs w:val="32"/>
        </w:rPr>
        <w:t>%</w:t>
      </w:r>
      <w:r>
        <w:rPr>
          <w:rFonts w:ascii="仿宋" w:eastAsia="仿宋" w:hAnsi="仿宋" w:hint="eastAsia"/>
          <w:sz w:val="32"/>
          <w:szCs w:val="32"/>
        </w:rPr>
        <w:t>股权、沈阳中捷航空航天机床有限公司</w:t>
      </w:r>
      <w:r>
        <w:rPr>
          <w:rFonts w:ascii="仿宋" w:eastAsia="仿宋" w:hAnsi="仿宋" w:hint="eastAsia"/>
          <w:sz w:val="32"/>
          <w:szCs w:val="32"/>
        </w:rPr>
        <w:t>1</w:t>
      </w:r>
      <w:r>
        <w:rPr>
          <w:rFonts w:ascii="仿宋" w:eastAsia="仿宋" w:hAnsi="仿宋"/>
          <w:sz w:val="32"/>
          <w:szCs w:val="32"/>
        </w:rPr>
        <w:t>00</w:t>
      </w:r>
      <w:r>
        <w:rPr>
          <w:rFonts w:ascii="仿宋" w:eastAsia="仿宋" w:hAnsi="仿宋" w:hint="eastAsia"/>
          <w:sz w:val="32"/>
          <w:szCs w:val="32"/>
        </w:rPr>
        <w:t>%</w:t>
      </w:r>
      <w:r>
        <w:rPr>
          <w:rFonts w:ascii="仿宋" w:eastAsia="仿宋" w:hAnsi="仿宋" w:hint="eastAsia"/>
          <w:sz w:val="32"/>
          <w:szCs w:val="32"/>
        </w:rPr>
        <w:t>股权和通用技术集团机床有限公司持有的天津市天锻压力机有限公司</w:t>
      </w:r>
      <w:r>
        <w:rPr>
          <w:rFonts w:ascii="仿宋" w:eastAsia="仿宋" w:hAnsi="仿宋"/>
          <w:sz w:val="32"/>
          <w:szCs w:val="32"/>
        </w:rPr>
        <w:t>78.45</w:t>
      </w:r>
      <w:r>
        <w:rPr>
          <w:rFonts w:ascii="仿宋" w:eastAsia="仿宋" w:hAnsi="仿宋" w:hint="eastAsia"/>
          <w:sz w:val="32"/>
          <w:szCs w:val="32"/>
        </w:rPr>
        <w:t>%</w:t>
      </w:r>
      <w:r>
        <w:rPr>
          <w:rFonts w:ascii="仿宋" w:eastAsia="仿宋" w:hAnsi="仿宋" w:hint="eastAsia"/>
          <w:sz w:val="32"/>
          <w:szCs w:val="32"/>
        </w:rPr>
        <w:t>股权并同步募集配套资金（以下简称“本次交易”）。</w:t>
      </w:r>
    </w:p>
    <w:p w:rsidR="004B2A01" w:rsidRDefault="00ED75D2">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根据《上市公司重大资产重组管理办法》（以下简称“《重组管理办法》”）的规定：上市公司在十二个月内连续对同</w:t>
      </w:r>
      <w:proofErr w:type="gramStart"/>
      <w:r>
        <w:rPr>
          <w:rFonts w:ascii="仿宋" w:eastAsia="仿宋" w:hAnsi="仿宋" w:hint="eastAsia"/>
          <w:sz w:val="32"/>
          <w:szCs w:val="32"/>
        </w:rPr>
        <w:t>一或者</w:t>
      </w:r>
      <w:proofErr w:type="gramEnd"/>
      <w:r>
        <w:rPr>
          <w:rFonts w:ascii="仿宋" w:eastAsia="仿宋" w:hAnsi="仿宋" w:hint="eastAsia"/>
          <w:sz w:val="32"/>
          <w:szCs w:val="32"/>
        </w:rPr>
        <w:t>相关资产进行购买、出售的，以其累计数分别计算相应数额。已按照《重组管理办法》的规定编制并披露重大资产重组报告书的资产交易行为，无须纳入累计计算的范围。中国证监会对《重组管理办法》第十三条第一款规定的重大资产重组的累计期限和范围另有规定的，从其规定。交易标的资产属于同一交易方所有或者控制，或者属于相同或者相近的业务范围，或者中国证监会认定的其他情形下，可以认定为同</w:t>
      </w:r>
      <w:proofErr w:type="gramStart"/>
      <w:r>
        <w:rPr>
          <w:rFonts w:ascii="仿宋" w:eastAsia="仿宋" w:hAnsi="仿宋" w:hint="eastAsia"/>
          <w:sz w:val="32"/>
          <w:szCs w:val="32"/>
        </w:rPr>
        <w:t>一或者</w:t>
      </w:r>
      <w:proofErr w:type="gramEnd"/>
      <w:r>
        <w:rPr>
          <w:rFonts w:ascii="仿宋" w:eastAsia="仿宋" w:hAnsi="仿宋" w:hint="eastAsia"/>
          <w:sz w:val="32"/>
          <w:szCs w:val="32"/>
        </w:rPr>
        <w:t>相关资产。</w:t>
      </w:r>
    </w:p>
    <w:p w:rsidR="004B2A01" w:rsidRDefault="00ED75D2">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在本次交易前</w:t>
      </w:r>
      <w:r>
        <w:rPr>
          <w:rFonts w:ascii="仿宋" w:eastAsia="仿宋" w:hAnsi="仿宋"/>
          <w:sz w:val="32"/>
          <w:szCs w:val="32"/>
        </w:rPr>
        <w:t>12</w:t>
      </w:r>
      <w:r>
        <w:rPr>
          <w:rFonts w:ascii="仿宋" w:eastAsia="仿宋" w:hAnsi="仿宋"/>
          <w:sz w:val="32"/>
          <w:szCs w:val="32"/>
        </w:rPr>
        <w:t>个月</w:t>
      </w:r>
      <w:r>
        <w:rPr>
          <w:rFonts w:ascii="仿宋" w:eastAsia="仿宋" w:hAnsi="仿宋"/>
          <w:sz w:val="32"/>
          <w:szCs w:val="32"/>
        </w:rPr>
        <w:t>内，公司未发生与本次交易相关的购买、出售资产的交易行为，不存在需要纳入累计计算范围的情形。</w:t>
      </w:r>
    </w:p>
    <w:p w:rsidR="004B2A01" w:rsidRDefault="004B2A01">
      <w:pPr>
        <w:spacing w:line="540" w:lineRule="exact"/>
        <w:ind w:firstLineChars="200" w:firstLine="640"/>
        <w:jc w:val="left"/>
        <w:rPr>
          <w:rFonts w:ascii="仿宋" w:eastAsia="仿宋" w:hAnsi="仿宋" w:cs="Times New Roman"/>
          <w:sz w:val="32"/>
          <w:szCs w:val="32"/>
        </w:rPr>
      </w:pPr>
    </w:p>
    <w:p w:rsidR="004B2A01" w:rsidRDefault="00ED75D2">
      <w:pPr>
        <w:widowControl/>
        <w:jc w:val="left"/>
        <w:rPr>
          <w:rFonts w:ascii="仿宋" w:eastAsia="仿宋" w:hAnsi="仿宋" w:cs="Times New Roman"/>
          <w:sz w:val="32"/>
          <w:szCs w:val="32"/>
        </w:rPr>
      </w:pPr>
      <w:r>
        <w:rPr>
          <w:rFonts w:ascii="仿宋" w:eastAsia="仿宋" w:hAnsi="仿宋" w:cs="Times New Roman"/>
          <w:sz w:val="32"/>
          <w:szCs w:val="32"/>
        </w:rPr>
        <w:br w:type="page"/>
      </w:r>
    </w:p>
    <w:p w:rsidR="004B2A01" w:rsidRDefault="00ED75D2">
      <w:pPr>
        <w:spacing w:line="540" w:lineRule="exact"/>
        <w:ind w:firstLineChars="200" w:firstLine="640"/>
        <w:jc w:val="left"/>
        <w:rPr>
          <w:rFonts w:ascii="仿宋" w:eastAsia="仿宋" w:hAnsi="仿宋" w:cs="Times New Roman"/>
          <w:sz w:val="32"/>
          <w:szCs w:val="32"/>
        </w:rPr>
      </w:pPr>
      <w:bookmarkStart w:id="0" w:name="_GoBack"/>
      <w:r>
        <w:rPr>
          <w:rFonts w:ascii="仿宋" w:eastAsia="仿宋" w:hAnsi="仿宋" w:cs="Times New Roman"/>
          <w:noProof/>
          <w:sz w:val="32"/>
          <w:szCs w:val="32"/>
        </w:rPr>
        <w:lastRenderedPageBreak/>
        <w:drawing>
          <wp:anchor distT="0" distB="0" distL="114300" distR="114300" simplePos="0" relativeHeight="251659264" behindDoc="0" locked="0" layoutInCell="1" allowOverlap="1">
            <wp:simplePos x="0" y="0"/>
            <wp:positionH relativeFrom="column">
              <wp:posOffset>-1019175</wp:posOffset>
            </wp:positionH>
            <wp:positionV relativeFrom="paragraph">
              <wp:posOffset>-937298</wp:posOffset>
            </wp:positionV>
            <wp:extent cx="7252970" cy="9039225"/>
            <wp:effectExtent l="0" t="0" r="508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cstate="print">
                      <a:extLst>
                        <a:ext uri="{28A0092B-C50C-407E-A947-70E740481C1C}">
                          <a14:useLocalDpi xmlns:a14="http://schemas.microsoft.com/office/drawing/2010/main" val="0"/>
                        </a:ext>
                      </a:extLst>
                    </a:blip>
                    <a:srcRect l="4033" b="15495"/>
                    <a:stretch>
                      <a:fillRect/>
                    </a:stretch>
                  </pic:blipFill>
                  <pic:spPr>
                    <a:xfrm>
                      <a:off x="0" y="0"/>
                      <a:ext cx="7252970" cy="9039225"/>
                    </a:xfrm>
                    <a:prstGeom prst="rect">
                      <a:avLst/>
                    </a:prstGeom>
                    <a:ln>
                      <a:noFill/>
                    </a:ln>
                  </pic:spPr>
                </pic:pic>
              </a:graphicData>
            </a:graphic>
          </wp:anchor>
        </w:drawing>
      </w:r>
      <w:bookmarkEnd w:id="0"/>
    </w:p>
    <w:p w:rsidR="004B2A01" w:rsidRDefault="004B2A01">
      <w:pPr>
        <w:spacing w:line="540" w:lineRule="exact"/>
        <w:ind w:firstLineChars="200" w:firstLine="640"/>
        <w:jc w:val="left"/>
        <w:rPr>
          <w:rFonts w:ascii="仿宋" w:eastAsia="仿宋" w:hAnsi="仿宋" w:cs="Times New Roman"/>
          <w:sz w:val="32"/>
          <w:szCs w:val="32"/>
        </w:rPr>
      </w:pPr>
    </w:p>
    <w:p w:rsidR="004B2A01" w:rsidRDefault="00ED75D2">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 xml:space="preserve">                  </w:t>
      </w:r>
      <w:r>
        <w:rPr>
          <w:rFonts w:ascii="仿宋" w:eastAsia="仿宋" w:hAnsi="仿宋" w:cs="黑体" w:hint="eastAsia"/>
          <w:color w:val="000000"/>
          <w:kern w:val="0"/>
          <w:sz w:val="32"/>
          <w:szCs w:val="32"/>
        </w:rPr>
        <w:t>沈阳机床股份有限公司董事会</w:t>
      </w:r>
    </w:p>
    <w:p w:rsidR="004B2A01" w:rsidRDefault="00ED75D2">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 xml:space="preserve">                         202</w:t>
      </w:r>
      <w:r>
        <w:rPr>
          <w:rFonts w:ascii="仿宋" w:eastAsia="仿宋" w:hAnsi="仿宋" w:cs="黑体"/>
          <w:color w:val="000000"/>
          <w:kern w:val="0"/>
          <w:sz w:val="32"/>
          <w:szCs w:val="32"/>
        </w:rPr>
        <w:t>4</w:t>
      </w:r>
      <w:r>
        <w:rPr>
          <w:rFonts w:ascii="仿宋" w:eastAsia="仿宋" w:hAnsi="仿宋" w:cs="黑体" w:hint="eastAsia"/>
          <w:color w:val="000000"/>
          <w:kern w:val="0"/>
          <w:sz w:val="32"/>
          <w:szCs w:val="32"/>
        </w:rPr>
        <w:t>年</w:t>
      </w:r>
      <w:r>
        <w:rPr>
          <w:rFonts w:ascii="仿宋" w:eastAsia="仿宋" w:hAnsi="仿宋" w:cs="黑体"/>
          <w:color w:val="000000"/>
          <w:kern w:val="0"/>
          <w:sz w:val="32"/>
          <w:szCs w:val="32"/>
        </w:rPr>
        <w:t>3</w:t>
      </w:r>
      <w:r>
        <w:rPr>
          <w:rFonts w:ascii="仿宋" w:eastAsia="仿宋" w:hAnsi="仿宋" w:cs="黑体" w:hint="eastAsia"/>
          <w:color w:val="000000"/>
          <w:kern w:val="0"/>
          <w:sz w:val="32"/>
          <w:szCs w:val="32"/>
        </w:rPr>
        <w:t>月【】日</w:t>
      </w:r>
    </w:p>
    <w:p w:rsidR="004B2A01" w:rsidRDefault="004B2A01"/>
    <w:p w:rsidR="004B2A01" w:rsidRDefault="004B2A01"/>
    <w:sectPr w:rsidR="004B2A0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75D2" w:rsidRDefault="00ED75D2">
      <w:r>
        <w:separator/>
      </w:r>
    </w:p>
  </w:endnote>
  <w:endnote w:type="continuationSeparator" w:id="0">
    <w:p w:rsidR="00ED75D2" w:rsidRDefault="00ED75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2A01" w:rsidRPr="00270B8A" w:rsidRDefault="00ED75D2">
    <w:pPr>
      <w:pStyle w:val="a4"/>
      <w:jc w:val="center"/>
      <w:rPr>
        <w:rFonts w:ascii="Times New Roman" w:hAnsi="Times New Roman" w:cs="Times New Roman"/>
        <w:sz w:val="21"/>
        <w:szCs w:val="21"/>
      </w:rPr>
    </w:pPr>
    <w:r w:rsidRPr="00270B8A">
      <w:rPr>
        <w:rFonts w:ascii="Times New Roman" w:hAnsi="Times New Roman" w:cs="Times New Roman"/>
        <w:sz w:val="21"/>
        <w:szCs w:val="21"/>
      </w:rPr>
      <w:fldChar w:fldCharType="begin"/>
    </w:r>
    <w:r w:rsidRPr="00270B8A">
      <w:rPr>
        <w:rFonts w:ascii="Times New Roman" w:hAnsi="Times New Roman" w:cs="Times New Roman"/>
        <w:sz w:val="21"/>
        <w:szCs w:val="21"/>
      </w:rPr>
      <w:instrText>PAGE   \* MERGEFORMAT</w:instrText>
    </w:r>
    <w:r w:rsidRPr="00270B8A">
      <w:rPr>
        <w:rFonts w:ascii="Times New Roman" w:hAnsi="Times New Roman" w:cs="Times New Roman"/>
        <w:sz w:val="21"/>
        <w:szCs w:val="21"/>
      </w:rPr>
      <w:fldChar w:fldCharType="separate"/>
    </w:r>
    <w:r w:rsidR="00C6706A" w:rsidRPr="00C6706A">
      <w:rPr>
        <w:rFonts w:ascii="Times New Roman" w:hAnsi="Times New Roman" w:cs="Times New Roman"/>
        <w:noProof/>
        <w:sz w:val="21"/>
        <w:szCs w:val="21"/>
        <w:lang w:val="zh-CN"/>
      </w:rPr>
      <w:t>2</w:t>
    </w:r>
    <w:r w:rsidRPr="00270B8A">
      <w:rPr>
        <w:rFonts w:ascii="Times New Roman" w:hAnsi="Times New Roman" w:cs="Times New Roman"/>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75D2" w:rsidRDefault="00ED75D2">
      <w:r>
        <w:separator/>
      </w:r>
    </w:p>
  </w:footnote>
  <w:footnote w:type="continuationSeparator" w:id="0">
    <w:p w:rsidR="00ED75D2" w:rsidRDefault="00ED75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8A9"/>
    <w:rsid w:val="00150ABC"/>
    <w:rsid w:val="00270B8A"/>
    <w:rsid w:val="002D2B60"/>
    <w:rsid w:val="002F68B7"/>
    <w:rsid w:val="0031234F"/>
    <w:rsid w:val="003333EB"/>
    <w:rsid w:val="004819A4"/>
    <w:rsid w:val="004B2A01"/>
    <w:rsid w:val="00600BE9"/>
    <w:rsid w:val="00A73B5D"/>
    <w:rsid w:val="00B400B1"/>
    <w:rsid w:val="00B52DDB"/>
    <w:rsid w:val="00C171C9"/>
    <w:rsid w:val="00C6706A"/>
    <w:rsid w:val="00D24770"/>
    <w:rsid w:val="00D30D50"/>
    <w:rsid w:val="00D368A9"/>
    <w:rsid w:val="00DC1806"/>
    <w:rsid w:val="00DE602C"/>
    <w:rsid w:val="00E94183"/>
    <w:rsid w:val="00ED75D2"/>
    <w:rsid w:val="00F016F2"/>
    <w:rsid w:val="00F17108"/>
    <w:rsid w:val="00FC085C"/>
    <w:rsid w:val="030F1245"/>
    <w:rsid w:val="4D3E7367"/>
    <w:rsid w:val="52E23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84</Words>
  <Characters>484</Characters>
  <Application>Microsoft Office Word</Application>
  <DocSecurity>0</DocSecurity>
  <Lines>4</Lines>
  <Paragraphs>1</Paragraphs>
  <ScaleCrop>false</ScaleCrop>
  <Company/>
  <LinksUpToDate>false</LinksUpToDate>
  <CharactersWithSpaces>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dc:creator>
  <cp:lastModifiedBy>win10</cp:lastModifiedBy>
  <cp:revision>13</cp:revision>
  <dcterms:created xsi:type="dcterms:W3CDTF">2023-09-13T12:44:00Z</dcterms:created>
  <dcterms:modified xsi:type="dcterms:W3CDTF">2024-04-01T09:37:00Z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4AF07FC1A9EB4C9EBDF570687915E3A8</vt:lpwstr>
  </property>
</Properties>
</file>