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402" w:rsidRDefault="005A7402">
      <w:pPr>
        <w:spacing w:line="540" w:lineRule="exact"/>
        <w:jc w:val="center"/>
        <w:rPr>
          <w:rFonts w:ascii="宋体" w:eastAsia="宋体" w:hAnsi="宋体" w:cs="宋体"/>
          <w:b/>
          <w:sz w:val="36"/>
          <w:szCs w:val="36"/>
        </w:rPr>
      </w:pPr>
    </w:p>
    <w:p w:rsidR="005A7402" w:rsidRDefault="00645618">
      <w:pPr>
        <w:spacing w:line="540" w:lineRule="exact"/>
        <w:jc w:val="center"/>
        <w:rPr>
          <w:rFonts w:ascii="宋体" w:eastAsia="宋体" w:hAnsi="宋体" w:cs="宋体"/>
          <w:b/>
          <w:sz w:val="36"/>
          <w:szCs w:val="36"/>
        </w:rPr>
      </w:pPr>
      <w:r>
        <w:rPr>
          <w:rFonts w:ascii="宋体" w:eastAsia="宋体" w:hAnsi="宋体" w:cs="宋体" w:hint="eastAsia"/>
          <w:b/>
          <w:sz w:val="36"/>
          <w:szCs w:val="36"/>
        </w:rPr>
        <w:t>沈阳机床股份有限公司董事会</w:t>
      </w:r>
    </w:p>
    <w:p w:rsidR="005A7402" w:rsidRDefault="00645618">
      <w:pPr>
        <w:spacing w:line="540" w:lineRule="exact"/>
        <w:jc w:val="center"/>
        <w:rPr>
          <w:rFonts w:ascii="宋体" w:eastAsia="宋体" w:hAnsi="宋体" w:cs="宋体"/>
          <w:b/>
          <w:sz w:val="36"/>
          <w:szCs w:val="36"/>
        </w:rPr>
      </w:pPr>
      <w:r>
        <w:rPr>
          <w:rFonts w:ascii="宋体" w:eastAsia="宋体" w:hAnsi="宋体" w:cs="宋体" w:hint="eastAsia"/>
          <w:b/>
          <w:sz w:val="36"/>
          <w:szCs w:val="36"/>
        </w:rPr>
        <w:t>关于本次交易符合《上市公司重大资产重组管理办法》第十一条及四十三条规定的说明</w:t>
      </w:r>
    </w:p>
    <w:p w:rsidR="005A7402" w:rsidRDefault="005A7402">
      <w:pPr>
        <w:spacing w:beforeLines="50" w:before="156" w:afterLines="50" w:after="156" w:line="300" w:lineRule="auto"/>
        <w:rPr>
          <w:rFonts w:ascii="楷体_GB2312" w:eastAsia="楷体_GB2312" w:hAnsi="仿宋" w:cs="Times New Roman"/>
          <w:sz w:val="24"/>
          <w:szCs w:val="24"/>
        </w:rPr>
      </w:pPr>
    </w:p>
    <w:p w:rsidR="005A7402" w:rsidRDefault="00645618">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沈阳机床股份有限公司（以下简称“公司”、“上市公司”）拟发行股份购买通用技术集团沈阳机床有限责任公司（以下简称“通用沈机集团”）持有的沈阳机床中捷友谊厂有限公司（以下简称“中捷厂”）</w:t>
      </w:r>
      <w:r>
        <w:rPr>
          <w:rFonts w:ascii="仿宋" w:eastAsia="仿宋" w:hAnsi="仿宋" w:hint="eastAsia"/>
          <w:sz w:val="32"/>
          <w:szCs w:val="32"/>
        </w:rPr>
        <w:t>1</w:t>
      </w:r>
      <w:r>
        <w:rPr>
          <w:rFonts w:ascii="仿宋" w:eastAsia="仿宋" w:hAnsi="仿宋"/>
          <w:sz w:val="32"/>
          <w:szCs w:val="32"/>
        </w:rPr>
        <w:t>00</w:t>
      </w:r>
      <w:r>
        <w:rPr>
          <w:rFonts w:ascii="仿宋" w:eastAsia="仿宋" w:hAnsi="仿宋" w:hint="eastAsia"/>
          <w:sz w:val="32"/>
          <w:szCs w:val="32"/>
        </w:rPr>
        <w:t>%</w:t>
      </w:r>
      <w:r>
        <w:rPr>
          <w:rFonts w:ascii="仿宋" w:eastAsia="仿宋" w:hAnsi="仿宋" w:hint="eastAsia"/>
          <w:sz w:val="32"/>
          <w:szCs w:val="32"/>
        </w:rPr>
        <w:t>股权、沈阳中捷航空航天机床有限公司（以下简称“航空航天”）</w:t>
      </w:r>
      <w:r>
        <w:rPr>
          <w:rFonts w:ascii="仿宋" w:eastAsia="仿宋" w:hAnsi="仿宋" w:hint="eastAsia"/>
          <w:sz w:val="32"/>
          <w:szCs w:val="32"/>
        </w:rPr>
        <w:t>1</w:t>
      </w:r>
      <w:r>
        <w:rPr>
          <w:rFonts w:ascii="仿宋" w:eastAsia="仿宋" w:hAnsi="仿宋"/>
          <w:sz w:val="32"/>
          <w:szCs w:val="32"/>
        </w:rPr>
        <w:t>00</w:t>
      </w:r>
      <w:r>
        <w:rPr>
          <w:rFonts w:ascii="仿宋" w:eastAsia="仿宋" w:hAnsi="仿宋" w:hint="eastAsia"/>
          <w:sz w:val="32"/>
          <w:szCs w:val="32"/>
        </w:rPr>
        <w:t>%</w:t>
      </w:r>
      <w:r>
        <w:rPr>
          <w:rFonts w:ascii="仿宋" w:eastAsia="仿宋" w:hAnsi="仿宋" w:hint="eastAsia"/>
          <w:sz w:val="32"/>
          <w:szCs w:val="32"/>
        </w:rPr>
        <w:t>股权和通用技术集团机床有限公司（以下简称“通用机床”）持有的天津市天锻压力机有限公司（以下简称“天津天锻”）</w:t>
      </w:r>
      <w:r>
        <w:rPr>
          <w:rFonts w:ascii="仿宋" w:eastAsia="仿宋" w:hAnsi="仿宋"/>
          <w:sz w:val="32"/>
          <w:szCs w:val="32"/>
        </w:rPr>
        <w:t>78.45</w:t>
      </w:r>
      <w:r>
        <w:rPr>
          <w:rFonts w:ascii="仿宋" w:eastAsia="仿宋" w:hAnsi="仿宋" w:hint="eastAsia"/>
          <w:sz w:val="32"/>
          <w:szCs w:val="32"/>
        </w:rPr>
        <w:t>%</w:t>
      </w:r>
      <w:r>
        <w:rPr>
          <w:rFonts w:ascii="仿宋" w:eastAsia="仿宋" w:hAnsi="仿宋" w:hint="eastAsia"/>
          <w:sz w:val="32"/>
          <w:szCs w:val="32"/>
        </w:rPr>
        <w:t>股权并同步募集配套资金（以下简称“本次交易”或“本次重组”）。前述中捷厂</w:t>
      </w:r>
      <w:r>
        <w:rPr>
          <w:rFonts w:ascii="仿宋" w:eastAsia="仿宋" w:hAnsi="仿宋"/>
          <w:sz w:val="32"/>
          <w:szCs w:val="32"/>
        </w:rPr>
        <w:t>100%</w:t>
      </w:r>
      <w:r>
        <w:rPr>
          <w:rFonts w:ascii="仿宋" w:eastAsia="仿宋" w:hAnsi="仿宋"/>
          <w:sz w:val="32"/>
          <w:szCs w:val="32"/>
        </w:rPr>
        <w:t>股权、航空航天</w:t>
      </w:r>
      <w:r>
        <w:rPr>
          <w:rFonts w:ascii="仿宋" w:eastAsia="仿宋" w:hAnsi="仿宋"/>
          <w:sz w:val="32"/>
          <w:szCs w:val="32"/>
        </w:rPr>
        <w:t>100%</w:t>
      </w:r>
      <w:r>
        <w:rPr>
          <w:rFonts w:ascii="仿宋" w:eastAsia="仿宋" w:hAnsi="仿宋"/>
          <w:sz w:val="32"/>
          <w:szCs w:val="32"/>
        </w:rPr>
        <w:t>股权、天津天锻</w:t>
      </w:r>
      <w:r>
        <w:rPr>
          <w:rFonts w:ascii="仿宋" w:eastAsia="仿宋" w:hAnsi="仿宋"/>
          <w:sz w:val="32"/>
          <w:szCs w:val="32"/>
        </w:rPr>
        <w:t>78.45%</w:t>
      </w:r>
      <w:r>
        <w:rPr>
          <w:rFonts w:ascii="仿宋" w:eastAsia="仿宋" w:hAnsi="仿宋"/>
          <w:sz w:val="32"/>
          <w:szCs w:val="32"/>
        </w:rPr>
        <w:t>股权为本次重组的标的资产</w:t>
      </w:r>
      <w:r>
        <w:rPr>
          <w:rFonts w:ascii="仿宋" w:eastAsia="仿宋" w:hAnsi="仿宋" w:hint="eastAsia"/>
          <w:sz w:val="32"/>
          <w:szCs w:val="32"/>
        </w:rPr>
        <w:t>。</w:t>
      </w:r>
    </w:p>
    <w:p w:rsidR="005A7402" w:rsidRDefault="00645618">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经认真对照《上市公司重大资产重组管理办法》第十一条的规定进行审慎判断，公司董事会认为公司本次交易符合相关具体规定，具体如下：</w:t>
      </w:r>
    </w:p>
    <w:p w:rsidR="005A7402" w:rsidRDefault="00645618">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（一）本次交易上市公司拟购买资产为通用沈机集团持有的中捷厂</w:t>
      </w:r>
      <w:r>
        <w:rPr>
          <w:rFonts w:ascii="仿宋" w:eastAsia="仿宋" w:hAnsi="仿宋" w:hint="eastAsia"/>
          <w:sz w:val="32"/>
          <w:szCs w:val="32"/>
        </w:rPr>
        <w:t>1</w:t>
      </w:r>
      <w:r>
        <w:rPr>
          <w:rFonts w:ascii="仿宋" w:eastAsia="仿宋" w:hAnsi="仿宋"/>
          <w:sz w:val="32"/>
          <w:szCs w:val="32"/>
        </w:rPr>
        <w:t>00</w:t>
      </w:r>
      <w:r>
        <w:rPr>
          <w:rFonts w:ascii="仿宋" w:eastAsia="仿宋" w:hAnsi="仿宋" w:hint="eastAsia"/>
          <w:sz w:val="32"/>
          <w:szCs w:val="32"/>
        </w:rPr>
        <w:t>%</w:t>
      </w:r>
      <w:r>
        <w:rPr>
          <w:rFonts w:ascii="仿宋" w:eastAsia="仿宋" w:hAnsi="仿宋" w:hint="eastAsia"/>
          <w:sz w:val="32"/>
          <w:szCs w:val="32"/>
        </w:rPr>
        <w:t>股权、航空航天</w:t>
      </w:r>
      <w:r>
        <w:rPr>
          <w:rFonts w:ascii="仿宋" w:eastAsia="仿宋" w:hAnsi="仿宋" w:hint="eastAsia"/>
          <w:sz w:val="32"/>
          <w:szCs w:val="32"/>
        </w:rPr>
        <w:t>1</w:t>
      </w:r>
      <w:r>
        <w:rPr>
          <w:rFonts w:ascii="仿宋" w:eastAsia="仿宋" w:hAnsi="仿宋"/>
          <w:sz w:val="32"/>
          <w:szCs w:val="32"/>
        </w:rPr>
        <w:t>00</w:t>
      </w:r>
      <w:r>
        <w:rPr>
          <w:rFonts w:ascii="仿宋" w:eastAsia="仿宋" w:hAnsi="仿宋" w:hint="eastAsia"/>
          <w:sz w:val="32"/>
          <w:szCs w:val="32"/>
        </w:rPr>
        <w:t>%</w:t>
      </w:r>
      <w:r>
        <w:rPr>
          <w:rFonts w:ascii="仿宋" w:eastAsia="仿宋" w:hAnsi="仿宋" w:hint="eastAsia"/>
          <w:sz w:val="32"/>
          <w:szCs w:val="32"/>
        </w:rPr>
        <w:t>股权及通用机床持有的</w:t>
      </w:r>
      <w:r>
        <w:rPr>
          <w:rFonts w:ascii="仿宋" w:eastAsia="仿宋" w:hAnsi="仿宋" w:hint="eastAsia"/>
          <w:sz w:val="32"/>
          <w:szCs w:val="32"/>
        </w:rPr>
        <w:t>天津天锻</w:t>
      </w:r>
      <w:r>
        <w:rPr>
          <w:rFonts w:ascii="仿宋" w:eastAsia="仿宋" w:hAnsi="仿宋"/>
          <w:sz w:val="32"/>
          <w:szCs w:val="32"/>
        </w:rPr>
        <w:t>78.45</w:t>
      </w:r>
      <w:r>
        <w:rPr>
          <w:rFonts w:ascii="仿宋" w:eastAsia="仿宋" w:hAnsi="仿宋" w:hint="eastAsia"/>
          <w:sz w:val="32"/>
          <w:szCs w:val="32"/>
        </w:rPr>
        <w:t>%</w:t>
      </w:r>
      <w:r>
        <w:rPr>
          <w:rFonts w:ascii="仿宋" w:eastAsia="仿宋" w:hAnsi="仿宋" w:hint="eastAsia"/>
          <w:sz w:val="32"/>
          <w:szCs w:val="32"/>
        </w:rPr>
        <w:t>股权</w:t>
      </w:r>
      <w:r>
        <w:rPr>
          <w:rFonts w:ascii="仿宋" w:eastAsia="仿宋" w:hAnsi="仿宋"/>
          <w:sz w:val="32"/>
          <w:szCs w:val="32"/>
        </w:rPr>
        <w:t>，</w:t>
      </w:r>
      <w:r>
        <w:rPr>
          <w:rFonts w:ascii="仿宋" w:eastAsia="仿宋" w:hAnsi="仿宋" w:hint="eastAsia"/>
          <w:sz w:val="32"/>
          <w:szCs w:val="32"/>
        </w:rPr>
        <w:t>不涉及环境保护、土地管理、外商投资、对外投资等法律和行政法规规定的审批手续，符合国家产业政策和反垄断相关法律和行政法规的规定。</w:t>
      </w:r>
    </w:p>
    <w:p w:rsidR="005A7402" w:rsidRDefault="00645618">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（二）本次交易完成后，不会导致公司不符合股票上市条件。</w:t>
      </w:r>
    </w:p>
    <w:p w:rsidR="005A7402" w:rsidRDefault="00645618">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lastRenderedPageBreak/>
        <w:t>（三）本次交易中，标的资产的最终交易价格以具有证券期货业务资格的评估机构出具的、经国有资产监督管理机构备案的评估结果为依据，经交易各方协商确定。本次交易所涉及标的资产定价方式合理，交易价格公允，不存在损害公司和股东合法权益的情形。</w:t>
      </w:r>
    </w:p>
    <w:p w:rsidR="005A7402" w:rsidRDefault="00645618">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（四）本次交易所涉及的资产权属清晰，资产过户或者转移不存在法律障碍。本</w:t>
      </w:r>
      <w:r>
        <w:rPr>
          <w:rFonts w:ascii="仿宋" w:eastAsia="仿宋" w:hAnsi="仿宋" w:hint="eastAsia"/>
          <w:sz w:val="32"/>
          <w:szCs w:val="32"/>
        </w:rPr>
        <w:t>次交易完成后，中捷厂、航空航天及天津天锻的债权债务仍由其自身承担，不涉及债权债务处理。</w:t>
      </w:r>
    </w:p>
    <w:p w:rsidR="005A7402" w:rsidRDefault="00645618">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（五）本次交易有利于上市公司增强持续经营能力，不存在可能导致上市公司重组后主要资产为现金或者无具体经营业务的情形。</w:t>
      </w:r>
    </w:p>
    <w:p w:rsidR="005A7402" w:rsidRDefault="00645618">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（六）本次交易有利于上市公司在业务、资产、财务、人员、机构等方面与实际控制人及其关联人保持独立，符合中国证监会关于上市公司独立性的相关规定。</w:t>
      </w:r>
    </w:p>
    <w:p w:rsidR="005A7402" w:rsidRDefault="00645618">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（七）本次交易有利于上市公司保持健全的法人治理结构。</w:t>
      </w:r>
    </w:p>
    <w:p w:rsidR="005A7402" w:rsidRDefault="00645618">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公司董事会对本次重组是否符合《上市公司重大资产重组管理办法》第四十三条的规定进行了审慎分析，董事会认为本次重组符</w:t>
      </w:r>
      <w:r>
        <w:rPr>
          <w:rFonts w:ascii="仿宋" w:eastAsia="仿宋" w:hAnsi="仿宋" w:hint="eastAsia"/>
          <w:sz w:val="32"/>
          <w:szCs w:val="32"/>
        </w:rPr>
        <w:t>合第四十三条的规定：</w:t>
      </w:r>
    </w:p>
    <w:p w:rsidR="005A7402" w:rsidRDefault="00645618">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（一）</w:t>
      </w:r>
      <w:r>
        <w:rPr>
          <w:rFonts w:ascii="仿宋" w:eastAsia="仿宋" w:hAnsi="仿宋"/>
          <w:sz w:val="32"/>
          <w:szCs w:val="32"/>
        </w:rPr>
        <w:tab/>
      </w:r>
      <w:r>
        <w:rPr>
          <w:rFonts w:ascii="仿宋" w:eastAsia="仿宋" w:hAnsi="仿宋" w:hint="eastAsia"/>
          <w:sz w:val="32"/>
          <w:szCs w:val="32"/>
        </w:rPr>
        <w:t>本次交易有利于提高公司资产质量、改善财务状况和增强持续经营能力</w:t>
      </w:r>
      <w:r>
        <w:rPr>
          <w:rFonts w:ascii="仿宋" w:eastAsia="仿宋" w:hAnsi="仿宋"/>
          <w:sz w:val="32"/>
          <w:szCs w:val="32"/>
        </w:rPr>
        <w:t>,</w:t>
      </w:r>
      <w:r>
        <w:rPr>
          <w:rFonts w:ascii="仿宋" w:eastAsia="仿宋" w:hAnsi="仿宋"/>
          <w:sz w:val="32"/>
          <w:szCs w:val="32"/>
        </w:rPr>
        <w:t>有利于上市公司</w:t>
      </w:r>
      <w:r>
        <w:rPr>
          <w:rFonts w:ascii="仿宋" w:eastAsia="仿宋" w:hAnsi="仿宋" w:hint="eastAsia"/>
          <w:sz w:val="32"/>
          <w:szCs w:val="32"/>
        </w:rPr>
        <w:t>规范</w:t>
      </w:r>
      <w:r>
        <w:rPr>
          <w:rFonts w:ascii="仿宋" w:eastAsia="仿宋" w:hAnsi="仿宋"/>
          <w:sz w:val="32"/>
          <w:szCs w:val="32"/>
        </w:rPr>
        <w:t>关联交易、避免同业竞争、增强独立性</w:t>
      </w:r>
      <w:r>
        <w:rPr>
          <w:rFonts w:ascii="仿宋" w:eastAsia="仿宋" w:hAnsi="仿宋"/>
          <w:sz w:val="32"/>
          <w:szCs w:val="32"/>
        </w:rPr>
        <w:t>;</w:t>
      </w:r>
    </w:p>
    <w:p w:rsidR="005A7402" w:rsidRDefault="00645618">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（二）</w:t>
      </w:r>
      <w:r>
        <w:rPr>
          <w:rFonts w:ascii="仿宋" w:eastAsia="仿宋" w:hAnsi="仿宋"/>
          <w:sz w:val="32"/>
          <w:szCs w:val="32"/>
        </w:rPr>
        <w:tab/>
      </w:r>
      <w:r>
        <w:rPr>
          <w:rFonts w:ascii="仿宋" w:eastAsia="仿宋" w:hAnsi="仿宋" w:hint="eastAsia"/>
          <w:sz w:val="32"/>
          <w:szCs w:val="32"/>
        </w:rPr>
        <w:t>公司最近一年及一期财务会计报告被会计师事务所出具无保留意见审计报告</w:t>
      </w:r>
      <w:r>
        <w:rPr>
          <w:rFonts w:ascii="仿宋" w:eastAsia="仿宋" w:hAnsi="仿宋"/>
          <w:sz w:val="32"/>
          <w:szCs w:val="32"/>
        </w:rPr>
        <w:t>;</w:t>
      </w:r>
    </w:p>
    <w:p w:rsidR="005A7402" w:rsidRDefault="00645618">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lastRenderedPageBreak/>
        <w:t>（三）</w:t>
      </w:r>
      <w:r>
        <w:rPr>
          <w:rFonts w:ascii="仿宋" w:eastAsia="仿宋" w:hAnsi="仿宋"/>
          <w:sz w:val="32"/>
          <w:szCs w:val="32"/>
        </w:rPr>
        <w:tab/>
      </w:r>
      <w:r>
        <w:rPr>
          <w:rFonts w:ascii="仿宋" w:eastAsia="仿宋" w:hAnsi="仿宋" w:hint="eastAsia"/>
          <w:sz w:val="32"/>
          <w:szCs w:val="32"/>
        </w:rPr>
        <w:t>公司及其现任董事、高级管理人员不存在因涉嫌犯罪正被司法机关立案侦查或涉嫌违法违规正被中国证监会立案调查的情形</w:t>
      </w:r>
      <w:r>
        <w:rPr>
          <w:rFonts w:ascii="仿宋" w:eastAsia="仿宋" w:hAnsi="仿宋"/>
          <w:sz w:val="32"/>
          <w:szCs w:val="32"/>
        </w:rPr>
        <w:t>;</w:t>
      </w:r>
    </w:p>
    <w:p w:rsidR="005A7402" w:rsidRDefault="00645618">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（四）</w:t>
      </w:r>
      <w:r>
        <w:rPr>
          <w:rFonts w:ascii="仿宋" w:eastAsia="仿宋" w:hAnsi="仿宋"/>
          <w:sz w:val="32"/>
          <w:szCs w:val="32"/>
        </w:rPr>
        <w:tab/>
      </w:r>
      <w:r>
        <w:rPr>
          <w:rFonts w:ascii="仿宋" w:eastAsia="仿宋" w:hAnsi="仿宋" w:hint="eastAsia"/>
          <w:sz w:val="32"/>
          <w:szCs w:val="32"/>
        </w:rPr>
        <w:t>公司发行股份所购买的资产为权属清晰的经营性资产</w:t>
      </w:r>
      <w:r>
        <w:rPr>
          <w:rFonts w:ascii="仿宋" w:eastAsia="仿宋" w:hAnsi="仿宋"/>
          <w:sz w:val="32"/>
          <w:szCs w:val="32"/>
        </w:rPr>
        <w:t>,</w:t>
      </w:r>
      <w:r>
        <w:rPr>
          <w:rFonts w:ascii="仿宋" w:eastAsia="仿宋" w:hAnsi="仿宋" w:hint="eastAsia"/>
          <w:sz w:val="32"/>
          <w:szCs w:val="32"/>
        </w:rPr>
        <w:t>在相关法律程序和先决条件得到适当履行的情形下，</w:t>
      </w:r>
      <w:r>
        <w:rPr>
          <w:rFonts w:ascii="仿宋" w:eastAsia="仿宋" w:hAnsi="仿宋"/>
          <w:sz w:val="32"/>
          <w:szCs w:val="32"/>
        </w:rPr>
        <w:t>预计能在约定期限内办理完毕权属转移手续</w:t>
      </w:r>
      <w:r>
        <w:rPr>
          <w:rFonts w:ascii="仿宋" w:eastAsia="仿宋" w:hAnsi="仿宋"/>
          <w:sz w:val="32"/>
          <w:szCs w:val="32"/>
        </w:rPr>
        <w:t>;</w:t>
      </w:r>
    </w:p>
    <w:p w:rsidR="005A7402" w:rsidRDefault="00645618">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（五）</w:t>
      </w:r>
      <w:r>
        <w:rPr>
          <w:rFonts w:ascii="仿宋" w:eastAsia="仿宋" w:hAnsi="仿宋"/>
          <w:sz w:val="32"/>
          <w:szCs w:val="32"/>
        </w:rPr>
        <w:tab/>
      </w:r>
      <w:r>
        <w:rPr>
          <w:rFonts w:ascii="仿宋" w:eastAsia="仿宋" w:hAnsi="仿宋" w:hint="eastAsia"/>
          <w:sz w:val="32"/>
          <w:szCs w:val="32"/>
        </w:rPr>
        <w:t>本次交易符合中国证监会规定的其他条件。</w:t>
      </w:r>
    </w:p>
    <w:p w:rsidR="005A7402" w:rsidRDefault="00645618">
      <w:pPr>
        <w:autoSpaceDE w:val="0"/>
        <w:autoSpaceDN w:val="0"/>
        <w:adjustRightInd w:val="0"/>
        <w:spacing w:line="540" w:lineRule="exact"/>
        <w:ind w:firstLineChars="200" w:firstLine="640"/>
        <w:rPr>
          <w:rFonts w:ascii="仿宋" w:eastAsia="仿宋" w:hAnsi="仿宋" w:cs="黑体"/>
          <w:color w:val="000000"/>
          <w:kern w:val="0"/>
          <w:sz w:val="32"/>
          <w:szCs w:val="32"/>
        </w:rPr>
      </w:pPr>
      <w:r>
        <w:rPr>
          <w:rFonts w:ascii="仿宋" w:eastAsia="仿宋" w:hAnsi="仿宋" w:cs="黑体" w:hint="eastAsia"/>
          <w:color w:val="000000"/>
          <w:kern w:val="0"/>
          <w:sz w:val="32"/>
          <w:szCs w:val="32"/>
        </w:rPr>
        <w:t>特此公告。</w:t>
      </w:r>
    </w:p>
    <w:p w:rsidR="005A7402" w:rsidRDefault="005A7402">
      <w:pPr>
        <w:spacing w:line="540" w:lineRule="exact"/>
        <w:jc w:val="left"/>
        <w:rPr>
          <w:rFonts w:ascii="仿宋" w:eastAsia="仿宋" w:hAnsi="仿宋" w:cs="Times New Roman"/>
          <w:sz w:val="32"/>
          <w:szCs w:val="32"/>
        </w:rPr>
      </w:pPr>
    </w:p>
    <w:p w:rsidR="005A7402" w:rsidRDefault="00645618">
      <w:pPr>
        <w:widowControl/>
        <w:jc w:val="left"/>
        <w:rPr>
          <w:rFonts w:ascii="仿宋" w:eastAsia="仿宋" w:hAnsi="仿宋" w:cs="Times New Roman"/>
          <w:sz w:val="32"/>
          <w:szCs w:val="32"/>
        </w:rPr>
      </w:pPr>
      <w:r>
        <w:rPr>
          <w:rFonts w:ascii="仿宋" w:eastAsia="仿宋" w:hAnsi="仿宋" w:cs="Times New Roman"/>
          <w:sz w:val="32"/>
          <w:szCs w:val="32"/>
        </w:rPr>
        <w:br w:type="page"/>
      </w:r>
    </w:p>
    <w:p w:rsidR="005A7402" w:rsidRDefault="00645618">
      <w:pPr>
        <w:spacing w:line="540" w:lineRule="exact"/>
        <w:ind w:firstLineChars="200" w:firstLine="640"/>
        <w:jc w:val="left"/>
        <w:rPr>
          <w:rFonts w:ascii="仿宋" w:eastAsia="仿宋" w:hAnsi="仿宋" w:cs="Times New Roman"/>
          <w:sz w:val="32"/>
          <w:szCs w:val="32"/>
        </w:rPr>
      </w:pPr>
      <w:bookmarkStart w:id="0" w:name="_GoBack"/>
      <w:r>
        <w:rPr>
          <w:rFonts w:ascii="仿宋" w:eastAsia="仿宋" w:hAnsi="仿宋" w:cs="Times New Roman"/>
          <w:noProof/>
          <w:sz w:val="32"/>
          <w:szCs w:val="32"/>
        </w:rPr>
        <w:lastRenderedPageBreak/>
        <w:drawing>
          <wp:anchor distT="0" distB="0" distL="114300" distR="114300" simplePos="0" relativeHeight="251659264" behindDoc="0" locked="0" layoutInCell="1" allowOverlap="1" wp14:anchorId="5B09EF68" wp14:editId="273254AE">
            <wp:simplePos x="0" y="0"/>
            <wp:positionH relativeFrom="column">
              <wp:posOffset>-1134110</wp:posOffset>
            </wp:positionH>
            <wp:positionV relativeFrom="paragraph">
              <wp:posOffset>-922655</wp:posOffset>
            </wp:positionV>
            <wp:extent cx="7562215" cy="9135110"/>
            <wp:effectExtent l="0" t="0" r="635" b="889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extLst>
                        <a:ext uri="{28A0092B-C50C-407E-A947-70E740481C1C}">
                          <a14:useLocalDpi xmlns:a14="http://schemas.microsoft.com/office/drawing/2010/main" val="0"/>
                        </a:ext>
                      </a:extLst>
                    </a:blip>
                    <a:srcRect b="14528"/>
                    <a:stretch>
                      <a:fillRect/>
                    </a:stretch>
                  </pic:blipFill>
                  <pic:spPr>
                    <a:xfrm>
                      <a:off x="0" y="0"/>
                      <a:ext cx="7560000" cy="9132528"/>
                    </a:xfrm>
                    <a:prstGeom prst="rect">
                      <a:avLst/>
                    </a:prstGeom>
                    <a:ln>
                      <a:noFill/>
                    </a:ln>
                  </pic:spPr>
                </pic:pic>
              </a:graphicData>
            </a:graphic>
          </wp:anchor>
        </w:drawing>
      </w:r>
      <w:bookmarkEnd w:id="0"/>
    </w:p>
    <w:p w:rsidR="005A7402" w:rsidRDefault="005A7402">
      <w:pPr>
        <w:spacing w:line="540" w:lineRule="exact"/>
        <w:ind w:firstLineChars="200" w:firstLine="640"/>
        <w:jc w:val="left"/>
        <w:rPr>
          <w:rFonts w:ascii="仿宋" w:eastAsia="仿宋" w:hAnsi="仿宋" w:cs="Times New Roman"/>
          <w:sz w:val="32"/>
          <w:szCs w:val="32"/>
        </w:rPr>
      </w:pPr>
    </w:p>
    <w:p w:rsidR="005A7402" w:rsidRDefault="00645618">
      <w:pPr>
        <w:autoSpaceDE w:val="0"/>
        <w:autoSpaceDN w:val="0"/>
        <w:adjustRightInd w:val="0"/>
        <w:spacing w:line="540" w:lineRule="exact"/>
        <w:ind w:firstLineChars="200" w:firstLine="640"/>
        <w:rPr>
          <w:rFonts w:ascii="仿宋" w:eastAsia="仿宋" w:hAnsi="仿宋" w:cs="黑体"/>
          <w:color w:val="000000"/>
          <w:kern w:val="0"/>
          <w:sz w:val="32"/>
          <w:szCs w:val="32"/>
        </w:rPr>
      </w:pPr>
      <w:r>
        <w:rPr>
          <w:rFonts w:ascii="仿宋" w:eastAsia="仿宋" w:hAnsi="仿宋" w:cs="黑体" w:hint="eastAsia"/>
          <w:color w:val="000000"/>
          <w:kern w:val="0"/>
          <w:sz w:val="32"/>
          <w:szCs w:val="32"/>
        </w:rPr>
        <w:t xml:space="preserve">                  </w:t>
      </w:r>
      <w:r>
        <w:rPr>
          <w:rFonts w:ascii="仿宋" w:eastAsia="仿宋" w:hAnsi="仿宋" w:cs="黑体" w:hint="eastAsia"/>
          <w:color w:val="000000"/>
          <w:kern w:val="0"/>
          <w:sz w:val="32"/>
          <w:szCs w:val="32"/>
        </w:rPr>
        <w:t>沈阳机床股份有限公司董事会</w:t>
      </w:r>
    </w:p>
    <w:p w:rsidR="005A7402" w:rsidRDefault="00645618">
      <w:pPr>
        <w:autoSpaceDE w:val="0"/>
        <w:autoSpaceDN w:val="0"/>
        <w:adjustRightInd w:val="0"/>
        <w:spacing w:line="540" w:lineRule="exact"/>
        <w:ind w:firstLineChars="200" w:firstLine="640"/>
        <w:rPr>
          <w:rFonts w:ascii="仿宋" w:eastAsia="仿宋" w:hAnsi="仿宋" w:cs="黑体"/>
          <w:color w:val="000000"/>
          <w:kern w:val="0"/>
          <w:sz w:val="32"/>
          <w:szCs w:val="32"/>
        </w:rPr>
      </w:pPr>
      <w:r>
        <w:rPr>
          <w:rFonts w:ascii="仿宋" w:eastAsia="仿宋" w:hAnsi="仿宋" w:cs="黑体" w:hint="eastAsia"/>
          <w:color w:val="000000"/>
          <w:kern w:val="0"/>
          <w:sz w:val="32"/>
          <w:szCs w:val="32"/>
        </w:rPr>
        <w:t xml:space="preserve">                        </w:t>
      </w:r>
      <w:r>
        <w:rPr>
          <w:rFonts w:ascii="仿宋" w:eastAsia="仿宋" w:hAnsi="仿宋" w:cs="黑体"/>
          <w:color w:val="000000"/>
          <w:kern w:val="0"/>
          <w:sz w:val="32"/>
          <w:szCs w:val="32"/>
        </w:rPr>
        <w:t xml:space="preserve"> </w:t>
      </w:r>
      <w:r>
        <w:rPr>
          <w:rFonts w:ascii="仿宋" w:eastAsia="仿宋" w:hAnsi="仿宋" w:cs="黑体" w:hint="eastAsia"/>
          <w:color w:val="000000"/>
          <w:kern w:val="0"/>
          <w:sz w:val="32"/>
          <w:szCs w:val="32"/>
        </w:rPr>
        <w:t xml:space="preserve"> 202</w:t>
      </w:r>
      <w:r>
        <w:rPr>
          <w:rFonts w:ascii="仿宋" w:eastAsia="仿宋" w:hAnsi="仿宋" w:cs="黑体"/>
          <w:color w:val="000000"/>
          <w:kern w:val="0"/>
          <w:sz w:val="32"/>
          <w:szCs w:val="32"/>
        </w:rPr>
        <w:t>4</w:t>
      </w:r>
      <w:r>
        <w:rPr>
          <w:rFonts w:ascii="仿宋" w:eastAsia="仿宋" w:hAnsi="仿宋" w:cs="黑体" w:hint="eastAsia"/>
          <w:color w:val="000000"/>
          <w:kern w:val="0"/>
          <w:sz w:val="32"/>
          <w:szCs w:val="32"/>
        </w:rPr>
        <w:t>年【】月【】日</w:t>
      </w:r>
      <w:r>
        <w:rPr>
          <w:rFonts w:ascii="仿宋" w:eastAsia="仿宋" w:hAnsi="仿宋" w:cs="黑体" w:hint="eastAsia"/>
          <w:color w:val="000000"/>
          <w:kern w:val="0"/>
          <w:sz w:val="32"/>
          <w:szCs w:val="32"/>
        </w:rPr>
        <w:t xml:space="preserve"> </w:t>
      </w:r>
    </w:p>
    <w:p w:rsidR="005A7402" w:rsidRDefault="005A7402"/>
    <w:p w:rsidR="005A7402" w:rsidRDefault="005A7402"/>
    <w:sectPr w:rsidR="005A7402">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5618" w:rsidRDefault="00645618">
      <w:r>
        <w:separator/>
      </w:r>
    </w:p>
  </w:endnote>
  <w:endnote w:type="continuationSeparator" w:id="0">
    <w:p w:rsidR="00645618" w:rsidRDefault="00645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7402" w:rsidRDefault="00645618">
    <w:pPr>
      <w:pStyle w:val="a4"/>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413CD8" w:rsidRPr="00413CD8">
      <w:rPr>
        <w:rFonts w:ascii="Times New Roman" w:hAnsi="Times New Roman" w:cs="Times New Roman"/>
        <w:noProof/>
        <w:lang w:val="zh-CN"/>
      </w:rPr>
      <w:t>4</w:t>
    </w:r>
    <w:r>
      <w:rPr>
        <w:rFonts w:ascii="Times New Roman" w:hAnsi="Times New Roman" w:cs="Times New Roma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5618" w:rsidRDefault="00645618">
      <w:r>
        <w:separator/>
      </w:r>
    </w:p>
  </w:footnote>
  <w:footnote w:type="continuationSeparator" w:id="0">
    <w:p w:rsidR="00645618" w:rsidRDefault="00645618">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song">
    <w15:presenceInfo w15:providerId="None" w15:userId="son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6103"/>
    <w:rsid w:val="00413CD8"/>
    <w:rsid w:val="00554615"/>
    <w:rsid w:val="005A7402"/>
    <w:rsid w:val="00645618"/>
    <w:rsid w:val="006629E3"/>
    <w:rsid w:val="00791BD3"/>
    <w:rsid w:val="00813954"/>
    <w:rsid w:val="008D40F1"/>
    <w:rsid w:val="00A86103"/>
    <w:rsid w:val="00AA18FF"/>
    <w:rsid w:val="00B73934"/>
    <w:rsid w:val="00D71189"/>
    <w:rsid w:val="00DE2854"/>
    <w:rsid w:val="00F72D4E"/>
    <w:rsid w:val="053727FC"/>
    <w:rsid w:val="374538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qFormat/>
    <w:pPr>
      <w:tabs>
        <w:tab w:val="center" w:pos="4153"/>
        <w:tab w:val="right" w:pos="8306"/>
      </w:tabs>
      <w:snapToGrid w:val="0"/>
      <w:jc w:val="center"/>
    </w:pPr>
    <w:rPr>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qFormat/>
    <w:pPr>
      <w:tabs>
        <w:tab w:val="center" w:pos="4153"/>
        <w:tab w:val="right" w:pos="8306"/>
      </w:tabs>
      <w:snapToGrid w:val="0"/>
      <w:jc w:val="center"/>
    </w:pPr>
    <w:rPr>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194</Words>
  <Characters>1111</Characters>
  <Application>Microsoft Office Word</Application>
  <DocSecurity>0</DocSecurity>
  <Lines>9</Lines>
  <Paragraphs>2</Paragraphs>
  <ScaleCrop>false</ScaleCrop>
  <Company/>
  <LinksUpToDate>false</LinksUpToDate>
  <CharactersWithSpaces>1303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dc:creator>
  <cp:lastModifiedBy>win10</cp:lastModifiedBy>
  <cp:revision>4</cp:revision>
  <dcterms:created xsi:type="dcterms:W3CDTF">2023-12-13T11:14:00Z</dcterms:created>
  <dcterms:modified xsi:type="dcterms:W3CDTF">2024-04-01T09:31:00Z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71EAF08622B241D9BBF29BE7F1D0FF70</vt:lpwstr>
  </property>
</Properties>
</file>