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C7A" w:rsidRDefault="0095582C">
      <w:pPr>
        <w:spacing w:line="54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沈阳机床股份有限公司董事会</w:t>
      </w:r>
    </w:p>
    <w:p w:rsidR="00ED5C7A" w:rsidRDefault="0095582C">
      <w:pPr>
        <w:spacing w:line="54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关于本次重组符合《上市公司监管指引第</w:t>
      </w:r>
      <w:r>
        <w:rPr>
          <w:rFonts w:ascii="宋体" w:eastAsia="宋体" w:hAnsi="宋体" w:cs="宋体"/>
          <w:b/>
          <w:sz w:val="36"/>
          <w:szCs w:val="36"/>
        </w:rPr>
        <w:t>9</w:t>
      </w:r>
      <w:r>
        <w:rPr>
          <w:rFonts w:ascii="宋体" w:eastAsia="宋体" w:hAnsi="宋体" w:cs="宋体"/>
          <w:b/>
          <w:sz w:val="36"/>
          <w:szCs w:val="36"/>
        </w:rPr>
        <w:t>号</w:t>
      </w:r>
      <w:r>
        <w:rPr>
          <w:rFonts w:ascii="宋体" w:eastAsia="宋体" w:hAnsi="宋体" w:cs="宋体"/>
          <w:b/>
          <w:sz w:val="36"/>
          <w:szCs w:val="36"/>
        </w:rPr>
        <w:t>——</w:t>
      </w:r>
      <w:r>
        <w:rPr>
          <w:rFonts w:ascii="宋体" w:eastAsia="宋体" w:hAnsi="宋体" w:cs="宋体"/>
          <w:b/>
          <w:sz w:val="36"/>
          <w:szCs w:val="36"/>
        </w:rPr>
        <w:t>上市公司筹划和实施重大资产重组的监管要求》第四条规定的情况说明</w:t>
      </w:r>
    </w:p>
    <w:p w:rsidR="00ED5C7A" w:rsidRDefault="00ED5C7A">
      <w:pPr>
        <w:spacing w:beforeLines="50" w:before="156" w:afterLines="50" w:after="156" w:line="300" w:lineRule="auto"/>
        <w:rPr>
          <w:rFonts w:ascii="楷体_GB2312" w:eastAsia="楷体_GB2312" w:hAnsi="仿宋" w:cs="Times New Roman"/>
          <w:sz w:val="24"/>
          <w:szCs w:val="24"/>
        </w:rPr>
      </w:pPr>
    </w:p>
    <w:p w:rsidR="00ED5C7A" w:rsidRDefault="0095582C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沈阳机床股份有限公司（以下简称“公司”、“上市公司”）拟发行股份购买通用技术集团沈阳机床有限责任公司（以下简称“通用沈机集团”）持有的沈阳机床中捷友谊厂有限公司（以下简称“中捷厂”）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股权、沈阳中捷航空航天机床有限公司（以下简称“航空航天”）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股权和通用技术集团机床有限公司（以下简称“通用机床”）持有的天津市天锻压力机有限公司（以下简称“天津天锻”）</w:t>
      </w:r>
      <w:r>
        <w:rPr>
          <w:rFonts w:ascii="仿宋" w:eastAsia="仿宋" w:hAnsi="仿宋"/>
          <w:sz w:val="32"/>
          <w:szCs w:val="32"/>
        </w:rPr>
        <w:t>78.45</w:t>
      </w:r>
      <w:r>
        <w:rPr>
          <w:rFonts w:ascii="仿宋" w:eastAsia="仿宋" w:hAnsi="仿宋" w:hint="eastAsia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股权并同步募集配套资金（以下简称“本次交易”或“本次重组”）。</w:t>
      </w:r>
    </w:p>
    <w:p w:rsidR="00ED5C7A" w:rsidRDefault="0095582C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经认真对照《上市公司监管指引第</w:t>
      </w:r>
      <w:r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/>
          <w:sz w:val="32"/>
          <w:szCs w:val="32"/>
        </w:rPr>
        <w:t>号</w:t>
      </w:r>
      <w:r>
        <w:rPr>
          <w:rFonts w:ascii="仿宋" w:eastAsia="仿宋" w:hAnsi="仿宋"/>
          <w:sz w:val="32"/>
          <w:szCs w:val="32"/>
        </w:rPr>
        <w:t>——</w:t>
      </w:r>
      <w:r>
        <w:rPr>
          <w:rFonts w:ascii="仿宋" w:eastAsia="仿宋" w:hAnsi="仿宋"/>
          <w:sz w:val="32"/>
          <w:szCs w:val="32"/>
        </w:rPr>
        <w:t>上市公司筹划和实施重大资产重组的监管要求》第四条的规定进行审慎判断，公司董事会认为公司本次交易符合相关具体规定，具体如下：</w:t>
      </w:r>
    </w:p>
    <w:p w:rsidR="00ED5C7A" w:rsidRDefault="0095582C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本次交易上市公司拟购买资产为</w:t>
      </w:r>
      <w:proofErr w:type="gramStart"/>
      <w:r>
        <w:rPr>
          <w:rFonts w:ascii="仿宋" w:eastAsia="仿宋" w:hAnsi="仿宋"/>
          <w:sz w:val="32"/>
          <w:szCs w:val="32"/>
        </w:rPr>
        <w:t>通用沈机集团</w:t>
      </w:r>
      <w:proofErr w:type="gramEnd"/>
      <w:r>
        <w:rPr>
          <w:rFonts w:ascii="仿宋" w:eastAsia="仿宋" w:hAnsi="仿宋"/>
          <w:sz w:val="32"/>
          <w:szCs w:val="32"/>
        </w:rPr>
        <w:t>持有的</w:t>
      </w:r>
      <w:proofErr w:type="gramStart"/>
      <w:r>
        <w:rPr>
          <w:rFonts w:ascii="仿宋" w:eastAsia="仿宋" w:hAnsi="仿宋"/>
          <w:sz w:val="32"/>
          <w:szCs w:val="32"/>
        </w:rPr>
        <w:t>中捷厂</w:t>
      </w:r>
      <w:proofErr w:type="gramEnd"/>
      <w:r>
        <w:rPr>
          <w:rFonts w:ascii="仿宋" w:eastAsia="仿宋" w:hAnsi="仿宋"/>
          <w:sz w:val="32"/>
          <w:szCs w:val="32"/>
        </w:rPr>
        <w:t>100%</w:t>
      </w:r>
      <w:r>
        <w:rPr>
          <w:rFonts w:ascii="仿宋" w:eastAsia="仿宋" w:hAnsi="仿宋"/>
          <w:sz w:val="32"/>
          <w:szCs w:val="32"/>
        </w:rPr>
        <w:t>股权、航空航天</w:t>
      </w:r>
      <w:r>
        <w:rPr>
          <w:rFonts w:ascii="仿宋" w:eastAsia="仿宋" w:hAnsi="仿宋"/>
          <w:sz w:val="32"/>
          <w:szCs w:val="32"/>
        </w:rPr>
        <w:t>100%</w:t>
      </w:r>
      <w:r>
        <w:rPr>
          <w:rFonts w:ascii="仿宋" w:eastAsia="仿宋" w:hAnsi="仿宋"/>
          <w:sz w:val="32"/>
          <w:szCs w:val="32"/>
        </w:rPr>
        <w:t>股权及通用机床持有的天津天锻</w:t>
      </w:r>
      <w:r>
        <w:rPr>
          <w:rFonts w:ascii="仿宋" w:eastAsia="仿宋" w:hAnsi="仿宋"/>
          <w:sz w:val="32"/>
          <w:szCs w:val="32"/>
        </w:rPr>
        <w:t>78.45%</w:t>
      </w:r>
      <w:r>
        <w:rPr>
          <w:rFonts w:ascii="仿宋" w:eastAsia="仿宋" w:hAnsi="仿宋"/>
          <w:sz w:val="32"/>
          <w:szCs w:val="32"/>
        </w:rPr>
        <w:t>股权，不涉及立项、环保、行业准入、用地、规划、建设施工等有关报批事项。</w:t>
      </w:r>
      <w:r>
        <w:rPr>
          <w:rFonts w:ascii="仿宋" w:eastAsia="仿宋" w:hAnsi="仿宋" w:hint="eastAsia"/>
          <w:sz w:val="32"/>
          <w:szCs w:val="32"/>
        </w:rPr>
        <w:t>本次重组涉及的有关审批事项已在《沈阳机床发行股份购买资产并募集配套资金暨关联交</w:t>
      </w:r>
      <w:r>
        <w:rPr>
          <w:rFonts w:ascii="仿宋" w:eastAsia="仿宋" w:hAnsi="仿宋" w:hint="eastAsia"/>
          <w:sz w:val="32"/>
          <w:szCs w:val="32"/>
        </w:rPr>
        <w:t>易报告书（草案）》中详细披露，并对本次重组无法获得批准或核准的风险</w:t>
      </w:r>
      <w:proofErr w:type="gramStart"/>
      <w:r>
        <w:rPr>
          <w:rFonts w:ascii="仿宋" w:eastAsia="仿宋" w:hAnsi="仿宋" w:hint="eastAsia"/>
          <w:sz w:val="32"/>
          <w:szCs w:val="32"/>
        </w:rPr>
        <w:t>作出</w:t>
      </w:r>
      <w:proofErr w:type="gramEnd"/>
      <w:r>
        <w:rPr>
          <w:rFonts w:ascii="仿宋" w:eastAsia="仿宋" w:hAnsi="仿宋" w:hint="eastAsia"/>
          <w:sz w:val="32"/>
          <w:szCs w:val="32"/>
        </w:rPr>
        <w:t>了特别提示。</w:t>
      </w:r>
    </w:p>
    <w:p w:rsidR="00ED5C7A" w:rsidRDefault="0095582C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2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本次重组交易对方</w:t>
      </w:r>
      <w:proofErr w:type="gramStart"/>
      <w:r>
        <w:rPr>
          <w:rFonts w:ascii="仿宋" w:eastAsia="仿宋" w:hAnsi="仿宋"/>
          <w:sz w:val="32"/>
          <w:szCs w:val="32"/>
        </w:rPr>
        <w:t>通用沈机集团</w:t>
      </w:r>
      <w:proofErr w:type="gramEnd"/>
      <w:r>
        <w:rPr>
          <w:rFonts w:ascii="仿宋" w:eastAsia="仿宋" w:hAnsi="仿宋"/>
          <w:sz w:val="32"/>
          <w:szCs w:val="32"/>
        </w:rPr>
        <w:t>和通用机床已经合法拥有本次重组拟购买资产的完整权利，不存在限制或者禁止转让的情形，不存在出资不实或者影响其合法存续的情况。</w:t>
      </w:r>
      <w:r>
        <w:rPr>
          <w:rFonts w:ascii="仿宋" w:eastAsia="仿宋" w:hAnsi="仿宋" w:hint="eastAsia"/>
          <w:sz w:val="32"/>
          <w:szCs w:val="32"/>
        </w:rPr>
        <w:t>本次交易标的资产权属清晰，在相关法律程序和先决条件得到适当履行的情形下，标的资产转移不存在</w:t>
      </w:r>
      <w:r>
        <w:rPr>
          <w:rFonts w:ascii="仿宋" w:eastAsia="仿宋" w:hAnsi="仿宋" w:hint="eastAsia"/>
          <w:sz w:val="32"/>
          <w:szCs w:val="32"/>
        </w:rPr>
        <w:t>实质性</w:t>
      </w:r>
      <w:r>
        <w:rPr>
          <w:rFonts w:ascii="仿宋" w:eastAsia="仿宋" w:hAnsi="仿宋" w:hint="eastAsia"/>
          <w:sz w:val="32"/>
          <w:szCs w:val="32"/>
        </w:rPr>
        <w:t>法律障碍。</w:t>
      </w:r>
    </w:p>
    <w:p w:rsidR="00ED5C7A" w:rsidRDefault="0095582C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本次交易有利于提高公司资产的完整性；有利于公司在人员、采购、生产、销售、知识产权等方面保持独立。</w:t>
      </w:r>
    </w:p>
    <w:p w:rsidR="00ED5C7A" w:rsidRDefault="0095582C">
      <w:pPr>
        <w:pStyle w:val="Default"/>
        <w:spacing w:line="52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本次交易有利于上市公司改善财务状况、增强持续经营能力，有利于</w:t>
      </w:r>
      <w:r>
        <w:rPr>
          <w:rFonts w:ascii="仿宋" w:eastAsia="仿宋" w:hAnsi="仿宋"/>
          <w:sz w:val="32"/>
          <w:szCs w:val="32"/>
        </w:rPr>
        <w:t>上市公司突出主业、增强抗风险能力，有利于上市公司增强独立性</w:t>
      </w:r>
      <w:r>
        <w:rPr>
          <w:rFonts w:ascii="仿宋" w:eastAsia="仿宋" w:hAnsi="仿宋" w:hint="eastAsia"/>
          <w:sz w:val="32"/>
          <w:szCs w:val="32"/>
        </w:rPr>
        <w:t>，且不会新增显失公平的关联交易，</w:t>
      </w:r>
      <w:r>
        <w:rPr>
          <w:rFonts w:ascii="仿宋" w:eastAsia="仿宋" w:hAnsi="仿宋" w:hint="eastAsia"/>
          <w:sz w:val="32"/>
          <w:szCs w:val="32"/>
        </w:rPr>
        <w:t>避免同业竞争。</w:t>
      </w: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FB1AB4" w:rsidRDefault="00FB1AB4">
      <w:pPr>
        <w:widowControl/>
        <w:jc w:val="left"/>
        <w:rPr>
          <w:rFonts w:ascii="仿宋" w:eastAsia="仿宋" w:hAnsi="仿宋" w:cs="黑体"/>
          <w:color w:val="000000"/>
          <w:kern w:val="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ED5C7A" w:rsidRDefault="00FB1AB4">
      <w:pPr>
        <w:pStyle w:val="Default"/>
        <w:spacing w:line="540" w:lineRule="exact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 wp14:anchorId="268A5665" wp14:editId="24213836">
            <wp:simplePos x="0" y="0"/>
            <wp:positionH relativeFrom="column">
              <wp:posOffset>-1152525</wp:posOffset>
            </wp:positionH>
            <wp:positionV relativeFrom="paragraph">
              <wp:posOffset>-914399</wp:posOffset>
            </wp:positionV>
            <wp:extent cx="7557880" cy="9658350"/>
            <wp:effectExtent l="0" t="0" r="508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上市公司：沈阳机床签字页_页面_39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07"/>
                    <a:stretch/>
                  </pic:blipFill>
                  <pic:spPr bwMode="auto">
                    <a:xfrm>
                      <a:off x="0" y="0"/>
                      <a:ext cx="7559675" cy="9660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95582C">
      <w:pPr>
        <w:spacing w:line="540" w:lineRule="exact"/>
        <w:jc w:val="right"/>
        <w:rPr>
          <w:rFonts w:ascii="仿宋" w:eastAsia="仿宋" w:hAnsi="仿宋" w:cs="黑体"/>
          <w:color w:val="000000"/>
          <w:kern w:val="0"/>
          <w:sz w:val="32"/>
          <w:szCs w:val="32"/>
        </w:rPr>
      </w:pPr>
      <w:r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>沈阳机床股份有限公司</w:t>
      </w:r>
    </w:p>
    <w:p w:rsidR="00ED5C7A" w:rsidRDefault="0095582C">
      <w:pPr>
        <w:wordWrap w:val="0"/>
        <w:spacing w:line="540" w:lineRule="exact"/>
        <w:jc w:val="right"/>
        <w:rPr>
          <w:rFonts w:ascii="仿宋" w:eastAsia="仿宋" w:hAnsi="仿宋" w:cs="黑体"/>
          <w:color w:val="000000"/>
          <w:kern w:val="0"/>
          <w:sz w:val="32"/>
          <w:szCs w:val="32"/>
        </w:rPr>
      </w:pPr>
      <w:r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>2024</w:t>
      </w:r>
      <w:r>
        <w:rPr>
          <w:rFonts w:ascii="仿宋" w:eastAsia="仿宋" w:hAnsi="仿宋" w:cs="黑体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>4</w:t>
      </w:r>
      <w:r>
        <w:rPr>
          <w:rFonts w:ascii="仿宋" w:eastAsia="仿宋" w:hAnsi="仿宋" w:cs="黑体"/>
          <w:color w:val="000000"/>
          <w:kern w:val="0"/>
          <w:sz w:val="32"/>
          <w:szCs w:val="32"/>
        </w:rPr>
        <w:t>月</w:t>
      </w:r>
      <w:r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黑体"/>
          <w:color w:val="000000"/>
          <w:kern w:val="0"/>
          <w:sz w:val="32"/>
          <w:szCs w:val="32"/>
        </w:rPr>
        <w:t>日</w:t>
      </w:r>
      <w:r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 xml:space="preserve">  </w:t>
      </w: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pStyle w:val="Default"/>
        <w:spacing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D5C7A" w:rsidRDefault="00ED5C7A">
      <w:pPr>
        <w:spacing w:line="360" w:lineRule="auto"/>
        <w:jc w:val="center"/>
        <w:rPr>
          <w:rFonts w:ascii="仿宋" w:eastAsia="仿宋" w:hAnsi="仿宋" w:cs="黑体"/>
          <w:color w:val="000000"/>
          <w:kern w:val="0"/>
          <w:sz w:val="32"/>
          <w:szCs w:val="32"/>
        </w:rPr>
      </w:pPr>
      <w:bookmarkStart w:id="0" w:name="_GoBack"/>
      <w:bookmarkEnd w:id="0"/>
    </w:p>
    <w:sectPr w:rsidR="00ED5C7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82C" w:rsidRDefault="0095582C">
      <w:r>
        <w:separator/>
      </w:r>
    </w:p>
  </w:endnote>
  <w:endnote w:type="continuationSeparator" w:id="0">
    <w:p w:rsidR="0095582C" w:rsidRDefault="00955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C7A" w:rsidRPr="00FB1AB4" w:rsidRDefault="00FB1AB4" w:rsidP="00FB1AB4">
    <w:pPr>
      <w:pStyle w:val="a3"/>
      <w:jc w:val="center"/>
      <w:rPr>
        <w:rFonts w:ascii="Times New Roman" w:hAnsi="Times New Roman" w:cs="Times New Roman"/>
        <w:sz w:val="21"/>
        <w:szCs w:val="21"/>
      </w:rPr>
    </w:pPr>
    <w:r w:rsidRPr="00FB1AB4">
      <w:rPr>
        <w:rFonts w:ascii="Times New Roman" w:hAnsi="Times New Roman" w:cs="Times New Roman"/>
        <w:sz w:val="21"/>
        <w:szCs w:val="21"/>
      </w:rPr>
      <w:fldChar w:fldCharType="begin"/>
    </w:r>
    <w:r w:rsidRPr="00FB1AB4">
      <w:rPr>
        <w:rFonts w:ascii="Times New Roman" w:hAnsi="Times New Roman" w:cs="Times New Roman"/>
        <w:sz w:val="21"/>
        <w:szCs w:val="21"/>
      </w:rPr>
      <w:instrText>PAGE   \* MERGEFORMAT</w:instrText>
    </w:r>
    <w:r w:rsidRPr="00FB1AB4">
      <w:rPr>
        <w:rFonts w:ascii="Times New Roman" w:hAnsi="Times New Roman" w:cs="Times New Roman"/>
        <w:sz w:val="21"/>
        <w:szCs w:val="21"/>
      </w:rPr>
      <w:fldChar w:fldCharType="separate"/>
    </w:r>
    <w:r w:rsidRPr="00FB1AB4">
      <w:rPr>
        <w:rFonts w:ascii="Times New Roman" w:hAnsi="Times New Roman" w:cs="Times New Roman"/>
        <w:noProof/>
        <w:sz w:val="21"/>
        <w:szCs w:val="21"/>
        <w:lang w:val="zh-CN"/>
      </w:rPr>
      <w:t>3</w:t>
    </w:r>
    <w:r w:rsidRPr="00FB1AB4">
      <w:rPr>
        <w:rFonts w:ascii="Times New Roman" w:hAnsi="Times New Roman" w:cs="Times New Roman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82C" w:rsidRDefault="0095582C">
      <w:r>
        <w:separator/>
      </w:r>
    </w:p>
  </w:footnote>
  <w:footnote w:type="continuationSeparator" w:id="0">
    <w:p w:rsidR="0095582C" w:rsidRDefault="009558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MzJjNDMwZTgxZDZlNDI3MjEzMjg5NDBlMGFhMjgifQ=="/>
  </w:docVars>
  <w:rsids>
    <w:rsidRoot w:val="00E41537"/>
    <w:rsid w:val="0007051B"/>
    <w:rsid w:val="001E65FE"/>
    <w:rsid w:val="002F5C0D"/>
    <w:rsid w:val="00446391"/>
    <w:rsid w:val="004819A4"/>
    <w:rsid w:val="004B0F1E"/>
    <w:rsid w:val="0051145F"/>
    <w:rsid w:val="005A3016"/>
    <w:rsid w:val="0072599C"/>
    <w:rsid w:val="00750D22"/>
    <w:rsid w:val="00793BD2"/>
    <w:rsid w:val="008D7A5A"/>
    <w:rsid w:val="008E7D1C"/>
    <w:rsid w:val="0095582C"/>
    <w:rsid w:val="009F72B3"/>
    <w:rsid w:val="00A8671D"/>
    <w:rsid w:val="00B40E89"/>
    <w:rsid w:val="00B7594E"/>
    <w:rsid w:val="00B85B73"/>
    <w:rsid w:val="00C479BE"/>
    <w:rsid w:val="00DC2731"/>
    <w:rsid w:val="00DE602C"/>
    <w:rsid w:val="00E41537"/>
    <w:rsid w:val="00ED5C7A"/>
    <w:rsid w:val="00FB1AB4"/>
    <w:rsid w:val="069C45E9"/>
    <w:rsid w:val="06BA1602"/>
    <w:rsid w:val="30FA45E6"/>
    <w:rsid w:val="328C58C3"/>
    <w:rsid w:val="33B33A03"/>
    <w:rsid w:val="36CF1AFF"/>
    <w:rsid w:val="44FF2EB6"/>
    <w:rsid w:val="4A7E7442"/>
    <w:rsid w:val="601C5850"/>
    <w:rsid w:val="67B71E2A"/>
    <w:rsid w:val="6B36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5</cp:revision>
  <cp:lastPrinted>2024-03-28T07:03:00Z</cp:lastPrinted>
  <dcterms:created xsi:type="dcterms:W3CDTF">2023-12-13T12:38:00Z</dcterms:created>
  <dcterms:modified xsi:type="dcterms:W3CDTF">2024-04-01T09:43:00Z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5859B7638D6F4567AFB5E3D8F650C95C</vt:lpwstr>
  </property>
</Properties>
</file>