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585C" w:rsidRDefault="00EC585C">
      <w:pPr>
        <w:spacing w:line="240" w:lineRule="auto"/>
        <w:ind w:firstLineChars="0" w:firstLine="0"/>
        <w:jc w:val="center"/>
        <w:rPr>
          <w:rFonts w:ascii="黑体" w:eastAsia="黑体" w:hAnsi="黑体"/>
          <w:b/>
          <w:sz w:val="32"/>
          <w:szCs w:val="32"/>
        </w:rPr>
      </w:pPr>
    </w:p>
    <w:p w:rsidR="00EC585C" w:rsidRDefault="00434E08">
      <w:pPr>
        <w:spacing w:line="540" w:lineRule="exact"/>
        <w:ind w:firstLineChars="0" w:firstLine="0"/>
        <w:jc w:val="center"/>
        <w:rPr>
          <w:rFonts w:ascii="宋体" w:hAnsi="宋体" w:cs="宋体"/>
          <w:b/>
          <w:sz w:val="36"/>
          <w:szCs w:val="36"/>
        </w:rPr>
      </w:pPr>
      <w:r>
        <w:rPr>
          <w:rFonts w:ascii="宋体" w:hAnsi="宋体" w:cs="宋体" w:hint="eastAsia"/>
          <w:b/>
          <w:sz w:val="36"/>
          <w:szCs w:val="36"/>
        </w:rPr>
        <w:t>沈阳机床股份有限公司董事会</w:t>
      </w:r>
    </w:p>
    <w:p w:rsidR="00EC585C" w:rsidRDefault="00434E08">
      <w:pPr>
        <w:spacing w:line="540" w:lineRule="exact"/>
        <w:ind w:firstLineChars="0" w:firstLine="0"/>
        <w:jc w:val="center"/>
        <w:rPr>
          <w:rFonts w:ascii="宋体" w:hAnsi="宋体" w:cs="宋体"/>
          <w:b/>
          <w:sz w:val="36"/>
          <w:szCs w:val="36"/>
        </w:rPr>
      </w:pPr>
      <w:r>
        <w:rPr>
          <w:rFonts w:ascii="宋体" w:hAnsi="宋体" w:cs="宋体" w:hint="eastAsia"/>
          <w:b/>
          <w:sz w:val="36"/>
          <w:szCs w:val="36"/>
        </w:rPr>
        <w:t>关于本次重大资产重组中是否存在直接或间接有偿聘请</w:t>
      </w:r>
      <w:proofErr w:type="gramStart"/>
      <w:r>
        <w:rPr>
          <w:rFonts w:ascii="宋体" w:hAnsi="宋体" w:cs="宋体" w:hint="eastAsia"/>
          <w:b/>
          <w:sz w:val="36"/>
          <w:szCs w:val="36"/>
        </w:rPr>
        <w:t>其他第三</w:t>
      </w:r>
      <w:proofErr w:type="gramEnd"/>
      <w:r>
        <w:rPr>
          <w:rFonts w:ascii="宋体" w:hAnsi="宋体" w:cs="宋体" w:hint="eastAsia"/>
          <w:b/>
          <w:sz w:val="36"/>
          <w:szCs w:val="36"/>
        </w:rPr>
        <w:t>方机构或个人的说明</w:t>
      </w:r>
    </w:p>
    <w:p w:rsidR="00EC585C" w:rsidRDefault="00EC585C">
      <w:pPr>
        <w:spacing w:line="540" w:lineRule="exact"/>
        <w:ind w:firstLineChars="0" w:firstLine="0"/>
        <w:jc w:val="center"/>
        <w:rPr>
          <w:rFonts w:ascii="宋体" w:hAnsi="宋体" w:cs="宋体"/>
          <w:b/>
          <w:sz w:val="36"/>
          <w:szCs w:val="36"/>
        </w:rPr>
      </w:pPr>
    </w:p>
    <w:p w:rsidR="00EC585C" w:rsidRDefault="00EC585C">
      <w:pPr>
        <w:spacing w:line="240" w:lineRule="auto"/>
        <w:ind w:firstLineChars="0" w:firstLine="0"/>
        <w:jc w:val="center"/>
        <w:rPr>
          <w:rFonts w:ascii="Times New Roman"/>
          <w:b/>
          <w:sz w:val="28"/>
          <w:szCs w:val="28"/>
        </w:rPr>
      </w:pPr>
    </w:p>
    <w:p w:rsidR="00EC585C" w:rsidRDefault="00434E08">
      <w:pPr>
        <w:spacing w:line="540" w:lineRule="exact"/>
        <w:ind w:firstLine="640"/>
        <w:rPr>
          <w:rFonts w:ascii="仿宋" w:eastAsia="仿宋" w:hAnsi="仿宋" w:cs="黑体"/>
          <w:color w:val="000000"/>
          <w:kern w:val="0"/>
          <w:sz w:val="32"/>
          <w:szCs w:val="32"/>
        </w:rPr>
      </w:pPr>
      <w:r>
        <w:rPr>
          <w:rFonts w:ascii="仿宋" w:eastAsia="仿宋" w:hAnsi="仿宋" w:cs="黑体" w:hint="eastAsia"/>
          <w:color w:val="000000"/>
          <w:kern w:val="0"/>
          <w:sz w:val="32"/>
          <w:szCs w:val="32"/>
        </w:rPr>
        <w:t>沈阳机床股份有限公司（以下简称“沈阳机床”“上市公司”“公司”）拟通过发行股份的方式购买通用技术集团沈阳机床有限责任公司持有的沈阳中捷航空航天机床有限公司</w:t>
      </w:r>
      <w:r>
        <w:rPr>
          <w:rFonts w:ascii="仿宋" w:eastAsia="仿宋" w:hAnsi="仿宋" w:cs="黑体" w:hint="eastAsia"/>
          <w:color w:val="000000"/>
          <w:kern w:val="0"/>
          <w:sz w:val="32"/>
          <w:szCs w:val="32"/>
        </w:rPr>
        <w:t>100%</w:t>
      </w:r>
      <w:r>
        <w:rPr>
          <w:rFonts w:ascii="仿宋" w:eastAsia="仿宋" w:hAnsi="仿宋" w:cs="黑体" w:hint="eastAsia"/>
          <w:color w:val="000000"/>
          <w:kern w:val="0"/>
          <w:sz w:val="32"/>
          <w:szCs w:val="32"/>
        </w:rPr>
        <w:t>股权、沈阳机床中捷友谊厂有限公司</w:t>
      </w:r>
      <w:r>
        <w:rPr>
          <w:rFonts w:ascii="仿宋" w:eastAsia="仿宋" w:hAnsi="仿宋" w:cs="黑体" w:hint="eastAsia"/>
          <w:color w:val="000000"/>
          <w:kern w:val="0"/>
          <w:sz w:val="32"/>
          <w:szCs w:val="32"/>
        </w:rPr>
        <w:t>100%</w:t>
      </w:r>
      <w:r>
        <w:rPr>
          <w:rFonts w:ascii="仿宋" w:eastAsia="仿宋" w:hAnsi="仿宋" w:cs="黑体" w:hint="eastAsia"/>
          <w:color w:val="000000"/>
          <w:kern w:val="0"/>
          <w:sz w:val="32"/>
          <w:szCs w:val="32"/>
        </w:rPr>
        <w:t>股权和通用技术集团机床有限公司持有的天津市天锻压力机有限公司</w:t>
      </w:r>
      <w:r>
        <w:rPr>
          <w:rFonts w:ascii="仿宋" w:eastAsia="仿宋" w:hAnsi="仿宋" w:cs="黑体" w:hint="eastAsia"/>
          <w:color w:val="000000"/>
          <w:kern w:val="0"/>
          <w:sz w:val="32"/>
          <w:szCs w:val="32"/>
        </w:rPr>
        <w:t>78.45%</w:t>
      </w:r>
      <w:r>
        <w:rPr>
          <w:rFonts w:ascii="仿宋" w:eastAsia="仿宋" w:hAnsi="仿宋" w:cs="黑体" w:hint="eastAsia"/>
          <w:color w:val="000000"/>
          <w:kern w:val="0"/>
          <w:sz w:val="32"/>
          <w:szCs w:val="32"/>
        </w:rPr>
        <w:t>股权，同时向不超过</w:t>
      </w:r>
      <w:r>
        <w:rPr>
          <w:rFonts w:ascii="仿宋" w:eastAsia="仿宋" w:hAnsi="仿宋" w:cs="黑体" w:hint="eastAsia"/>
          <w:color w:val="000000"/>
          <w:kern w:val="0"/>
          <w:sz w:val="32"/>
          <w:szCs w:val="32"/>
        </w:rPr>
        <w:t>35</w:t>
      </w:r>
      <w:proofErr w:type="gramStart"/>
      <w:r>
        <w:rPr>
          <w:rFonts w:ascii="仿宋" w:eastAsia="仿宋" w:hAnsi="仿宋" w:cs="黑体" w:hint="eastAsia"/>
          <w:color w:val="000000"/>
          <w:kern w:val="0"/>
          <w:sz w:val="32"/>
          <w:szCs w:val="32"/>
        </w:rPr>
        <w:t>名特定</w:t>
      </w:r>
      <w:proofErr w:type="gramEnd"/>
      <w:r>
        <w:rPr>
          <w:rFonts w:ascii="仿宋" w:eastAsia="仿宋" w:hAnsi="仿宋" w:cs="黑体" w:hint="eastAsia"/>
          <w:color w:val="000000"/>
          <w:kern w:val="0"/>
          <w:sz w:val="32"/>
          <w:szCs w:val="32"/>
        </w:rPr>
        <w:t>对象发行股份募集配套资金（以下简称“本次交易”）。</w:t>
      </w:r>
    </w:p>
    <w:p w:rsidR="00EC585C" w:rsidRDefault="00434E08">
      <w:pPr>
        <w:spacing w:line="540" w:lineRule="exact"/>
        <w:ind w:firstLine="640"/>
        <w:rPr>
          <w:rFonts w:ascii="仿宋" w:eastAsia="仿宋" w:hAnsi="仿宋" w:cs="黑体"/>
          <w:color w:val="000000"/>
          <w:kern w:val="0"/>
          <w:sz w:val="32"/>
          <w:szCs w:val="32"/>
        </w:rPr>
      </w:pPr>
      <w:r>
        <w:rPr>
          <w:rFonts w:ascii="仿宋" w:eastAsia="仿宋" w:hAnsi="仿宋" w:cs="黑体" w:hint="eastAsia"/>
          <w:color w:val="000000"/>
          <w:kern w:val="0"/>
          <w:sz w:val="32"/>
          <w:szCs w:val="32"/>
        </w:rPr>
        <w:t>按照中国证券监督管理委员会《关于加强证券公司在投资银行类业务中聘请第三方等廉洁从业风险防控的意见》（证监会公告〔</w:t>
      </w:r>
      <w:r>
        <w:rPr>
          <w:rFonts w:ascii="仿宋" w:eastAsia="仿宋" w:hAnsi="仿宋" w:cs="黑体" w:hint="eastAsia"/>
          <w:color w:val="000000"/>
          <w:kern w:val="0"/>
          <w:sz w:val="32"/>
          <w:szCs w:val="32"/>
        </w:rPr>
        <w:t>2018</w:t>
      </w:r>
      <w:r>
        <w:rPr>
          <w:rFonts w:ascii="仿宋" w:eastAsia="仿宋" w:hAnsi="仿宋" w:cs="黑体" w:hint="eastAsia"/>
          <w:color w:val="000000"/>
          <w:kern w:val="0"/>
          <w:sz w:val="32"/>
          <w:szCs w:val="32"/>
        </w:rPr>
        <w:t>〕</w:t>
      </w:r>
      <w:r>
        <w:rPr>
          <w:rFonts w:ascii="仿宋" w:eastAsia="仿宋" w:hAnsi="仿宋" w:cs="黑体" w:hint="eastAsia"/>
          <w:color w:val="000000"/>
          <w:kern w:val="0"/>
          <w:sz w:val="32"/>
          <w:szCs w:val="32"/>
        </w:rPr>
        <w:t>22</w:t>
      </w:r>
      <w:r>
        <w:rPr>
          <w:rFonts w:ascii="仿宋" w:eastAsia="仿宋" w:hAnsi="仿宋" w:cs="黑体" w:hint="eastAsia"/>
          <w:color w:val="000000"/>
          <w:kern w:val="0"/>
          <w:sz w:val="32"/>
          <w:szCs w:val="32"/>
        </w:rPr>
        <w:t>号）的规定，上市公司在本次交易中聘请的第三方机构或个人的情况如下：</w:t>
      </w:r>
    </w:p>
    <w:p w:rsidR="00EC585C" w:rsidRDefault="00434E08">
      <w:pPr>
        <w:spacing w:line="540" w:lineRule="exact"/>
        <w:ind w:firstLine="640"/>
        <w:rPr>
          <w:rFonts w:ascii="仿宋" w:eastAsia="仿宋" w:hAnsi="仿宋" w:cs="黑体"/>
          <w:color w:val="000000"/>
          <w:kern w:val="0"/>
          <w:sz w:val="32"/>
          <w:szCs w:val="32"/>
        </w:rPr>
      </w:pPr>
      <w:r>
        <w:rPr>
          <w:rFonts w:ascii="仿宋" w:eastAsia="仿宋" w:hAnsi="仿宋" w:cs="黑体"/>
          <w:color w:val="000000"/>
          <w:kern w:val="0"/>
          <w:sz w:val="32"/>
          <w:szCs w:val="32"/>
        </w:rPr>
        <w:t>1</w:t>
      </w:r>
      <w:r>
        <w:rPr>
          <w:rFonts w:ascii="仿宋" w:eastAsia="仿宋" w:hAnsi="仿宋" w:cs="黑体" w:hint="eastAsia"/>
          <w:color w:val="000000"/>
          <w:kern w:val="0"/>
          <w:sz w:val="32"/>
          <w:szCs w:val="32"/>
        </w:rPr>
        <w:t>、聘请中信证券股份有限公司（以下简称为“中信证券”）作为本次交易的独立财务顾问；</w:t>
      </w:r>
    </w:p>
    <w:p w:rsidR="00EC585C" w:rsidRDefault="00434E08">
      <w:pPr>
        <w:spacing w:line="540" w:lineRule="exact"/>
        <w:ind w:firstLine="640"/>
        <w:rPr>
          <w:rFonts w:ascii="仿宋" w:eastAsia="仿宋" w:hAnsi="仿宋" w:cs="黑体"/>
          <w:color w:val="000000"/>
          <w:kern w:val="0"/>
          <w:sz w:val="32"/>
          <w:szCs w:val="32"/>
        </w:rPr>
      </w:pPr>
      <w:r>
        <w:rPr>
          <w:rFonts w:ascii="仿宋" w:eastAsia="仿宋" w:hAnsi="仿宋" w:cs="黑体"/>
          <w:color w:val="000000"/>
          <w:kern w:val="0"/>
          <w:sz w:val="32"/>
          <w:szCs w:val="32"/>
        </w:rPr>
        <w:t>2</w:t>
      </w:r>
      <w:r>
        <w:rPr>
          <w:rFonts w:ascii="仿宋" w:eastAsia="仿宋" w:hAnsi="仿宋" w:cs="黑体" w:hint="eastAsia"/>
          <w:color w:val="000000"/>
          <w:kern w:val="0"/>
          <w:sz w:val="32"/>
          <w:szCs w:val="32"/>
        </w:rPr>
        <w:t>、聘请上海市方达律师事务所作为本次交易的法律顾问；</w:t>
      </w:r>
    </w:p>
    <w:p w:rsidR="00EC585C" w:rsidRDefault="00434E08">
      <w:pPr>
        <w:spacing w:line="540" w:lineRule="exact"/>
        <w:ind w:firstLine="640"/>
        <w:rPr>
          <w:rFonts w:ascii="仿宋" w:eastAsia="仿宋" w:hAnsi="仿宋" w:cs="黑体"/>
          <w:color w:val="000000"/>
          <w:kern w:val="0"/>
          <w:sz w:val="32"/>
          <w:szCs w:val="32"/>
        </w:rPr>
      </w:pPr>
      <w:r>
        <w:rPr>
          <w:rFonts w:ascii="仿宋" w:eastAsia="仿宋" w:hAnsi="仿宋" w:cs="黑体"/>
          <w:color w:val="000000"/>
          <w:kern w:val="0"/>
          <w:sz w:val="32"/>
          <w:szCs w:val="32"/>
        </w:rPr>
        <w:t>3</w:t>
      </w:r>
      <w:r>
        <w:rPr>
          <w:rFonts w:ascii="仿宋" w:eastAsia="仿宋" w:hAnsi="仿宋" w:cs="黑体" w:hint="eastAsia"/>
          <w:color w:val="000000"/>
          <w:kern w:val="0"/>
          <w:sz w:val="32"/>
          <w:szCs w:val="32"/>
        </w:rPr>
        <w:t>、聘请中</w:t>
      </w:r>
      <w:proofErr w:type="gramStart"/>
      <w:r>
        <w:rPr>
          <w:rFonts w:ascii="仿宋" w:eastAsia="仿宋" w:hAnsi="仿宋" w:cs="黑体" w:hint="eastAsia"/>
          <w:color w:val="000000"/>
          <w:kern w:val="0"/>
          <w:sz w:val="32"/>
          <w:szCs w:val="32"/>
        </w:rPr>
        <w:t>审众环</w:t>
      </w:r>
      <w:proofErr w:type="gramEnd"/>
      <w:r>
        <w:rPr>
          <w:rFonts w:ascii="仿宋" w:eastAsia="仿宋" w:hAnsi="仿宋" w:cs="黑体" w:hint="eastAsia"/>
          <w:color w:val="000000"/>
          <w:kern w:val="0"/>
          <w:sz w:val="32"/>
          <w:szCs w:val="32"/>
        </w:rPr>
        <w:t>会计师事务所（特殊普通合伙）作为本次交易的审计机构；</w:t>
      </w:r>
    </w:p>
    <w:p w:rsidR="00EC585C" w:rsidRDefault="00434E08">
      <w:pPr>
        <w:spacing w:line="540" w:lineRule="exact"/>
        <w:ind w:firstLine="640"/>
        <w:rPr>
          <w:rFonts w:ascii="仿宋" w:eastAsia="仿宋" w:hAnsi="仿宋" w:cs="黑体"/>
          <w:color w:val="000000"/>
          <w:kern w:val="0"/>
          <w:sz w:val="32"/>
          <w:szCs w:val="32"/>
        </w:rPr>
      </w:pPr>
      <w:r>
        <w:rPr>
          <w:rFonts w:ascii="仿宋" w:eastAsia="仿宋" w:hAnsi="仿宋" w:cs="黑体"/>
          <w:color w:val="000000"/>
          <w:kern w:val="0"/>
          <w:sz w:val="32"/>
          <w:szCs w:val="32"/>
        </w:rPr>
        <w:t>4</w:t>
      </w:r>
      <w:r>
        <w:rPr>
          <w:rFonts w:ascii="仿宋" w:eastAsia="仿宋" w:hAnsi="仿宋" w:cs="黑体" w:hint="eastAsia"/>
          <w:color w:val="000000"/>
          <w:kern w:val="0"/>
          <w:sz w:val="32"/>
          <w:szCs w:val="32"/>
        </w:rPr>
        <w:t>、聘请沃克森（北京）国际资产评估有限公司作为本次交易的评估机构</w:t>
      </w:r>
      <w:r>
        <w:rPr>
          <w:rFonts w:ascii="仿宋" w:eastAsia="仿宋" w:hAnsi="仿宋" w:cs="黑体" w:hint="eastAsia"/>
          <w:color w:val="000000"/>
          <w:kern w:val="0"/>
          <w:sz w:val="32"/>
          <w:szCs w:val="32"/>
        </w:rPr>
        <w:t>；</w:t>
      </w:r>
    </w:p>
    <w:p w:rsidR="00EC585C" w:rsidRDefault="00434E08">
      <w:pPr>
        <w:spacing w:line="540" w:lineRule="exact"/>
        <w:ind w:firstLine="640"/>
        <w:rPr>
          <w:rFonts w:ascii="仿宋" w:eastAsia="仿宋" w:hAnsi="仿宋" w:cs="黑体"/>
          <w:color w:val="000000"/>
          <w:kern w:val="0"/>
          <w:sz w:val="32"/>
          <w:szCs w:val="32"/>
        </w:rPr>
      </w:pPr>
      <w:r>
        <w:rPr>
          <w:rFonts w:ascii="仿宋" w:eastAsia="仿宋" w:hAnsi="仿宋" w:cs="黑体" w:hint="eastAsia"/>
          <w:color w:val="000000"/>
          <w:kern w:val="0"/>
          <w:sz w:val="32"/>
          <w:szCs w:val="32"/>
        </w:rPr>
        <w:lastRenderedPageBreak/>
        <w:t>5</w:t>
      </w:r>
      <w:r>
        <w:rPr>
          <w:rFonts w:ascii="仿宋" w:eastAsia="仿宋" w:hAnsi="仿宋" w:cs="黑体" w:hint="eastAsia"/>
          <w:color w:val="000000"/>
          <w:kern w:val="0"/>
          <w:sz w:val="32"/>
          <w:szCs w:val="32"/>
        </w:rPr>
        <w:t>、聘请尚普咨询集团有限公司作为本次募集资</w:t>
      </w:r>
      <w:r>
        <w:rPr>
          <w:rFonts w:ascii="仿宋" w:eastAsia="仿宋" w:hAnsi="仿宋" w:cs="黑体" w:hint="eastAsia"/>
          <w:color w:val="000000"/>
          <w:kern w:val="0"/>
          <w:sz w:val="32"/>
          <w:szCs w:val="32"/>
        </w:rPr>
        <w:t>金投资项目可行性研究咨询服务机构。</w:t>
      </w:r>
    </w:p>
    <w:p w:rsidR="00EC585C" w:rsidRDefault="00434E08">
      <w:pPr>
        <w:spacing w:line="540" w:lineRule="exact"/>
        <w:ind w:firstLine="640"/>
        <w:rPr>
          <w:rFonts w:ascii="仿宋" w:eastAsia="仿宋" w:hAnsi="仿宋" w:cs="黑体"/>
          <w:color w:val="000000"/>
          <w:kern w:val="0"/>
          <w:sz w:val="32"/>
          <w:szCs w:val="32"/>
        </w:rPr>
      </w:pPr>
      <w:r>
        <w:rPr>
          <w:rFonts w:ascii="仿宋" w:eastAsia="仿宋" w:hAnsi="仿宋" w:cs="黑体" w:hint="eastAsia"/>
          <w:color w:val="000000"/>
          <w:kern w:val="0"/>
          <w:sz w:val="32"/>
          <w:szCs w:val="32"/>
        </w:rPr>
        <w:t>上述中介机构均为本次交易依法需聘请的证券服务机构，聘请行为合法合</w:t>
      </w:r>
      <w:proofErr w:type="gramStart"/>
      <w:r>
        <w:rPr>
          <w:rFonts w:ascii="仿宋" w:eastAsia="仿宋" w:hAnsi="仿宋" w:cs="黑体" w:hint="eastAsia"/>
          <w:color w:val="000000"/>
          <w:kern w:val="0"/>
          <w:sz w:val="32"/>
          <w:szCs w:val="32"/>
        </w:rPr>
        <w:t>规</w:t>
      </w:r>
      <w:proofErr w:type="gramEnd"/>
      <w:r>
        <w:rPr>
          <w:rFonts w:ascii="仿宋" w:eastAsia="仿宋" w:hAnsi="仿宋" w:cs="黑体" w:hint="eastAsia"/>
          <w:color w:val="000000"/>
          <w:kern w:val="0"/>
          <w:sz w:val="32"/>
          <w:szCs w:val="32"/>
        </w:rPr>
        <w:t>，符合《关于加强证券公司在投资银行类业务中聘请第三方等廉洁从业风险防控的意见》（证监会公告〔</w:t>
      </w:r>
      <w:r>
        <w:rPr>
          <w:rFonts w:ascii="仿宋" w:eastAsia="仿宋" w:hAnsi="仿宋" w:cs="黑体"/>
          <w:color w:val="000000"/>
          <w:kern w:val="0"/>
          <w:sz w:val="32"/>
          <w:szCs w:val="32"/>
        </w:rPr>
        <w:t>2018</w:t>
      </w:r>
      <w:r>
        <w:rPr>
          <w:rFonts w:ascii="仿宋" w:eastAsia="仿宋" w:hAnsi="仿宋" w:cs="黑体" w:hint="eastAsia"/>
          <w:color w:val="000000"/>
          <w:kern w:val="0"/>
          <w:sz w:val="32"/>
          <w:szCs w:val="32"/>
        </w:rPr>
        <w:t>〕</w:t>
      </w:r>
      <w:r>
        <w:rPr>
          <w:rFonts w:ascii="仿宋" w:eastAsia="仿宋" w:hAnsi="仿宋" w:cs="黑体"/>
          <w:color w:val="000000"/>
          <w:kern w:val="0"/>
          <w:sz w:val="32"/>
          <w:szCs w:val="32"/>
        </w:rPr>
        <w:t>22</w:t>
      </w:r>
      <w:r>
        <w:rPr>
          <w:rFonts w:ascii="仿宋" w:eastAsia="仿宋" w:hAnsi="仿宋" w:cs="黑体" w:hint="eastAsia"/>
          <w:color w:val="000000"/>
          <w:kern w:val="0"/>
          <w:sz w:val="32"/>
          <w:szCs w:val="32"/>
        </w:rPr>
        <w:t>号）的规定。</w:t>
      </w:r>
    </w:p>
    <w:p w:rsidR="00EC585C" w:rsidRDefault="00434E08">
      <w:pPr>
        <w:spacing w:line="540" w:lineRule="exact"/>
        <w:ind w:firstLine="640"/>
        <w:rPr>
          <w:rFonts w:ascii="仿宋" w:eastAsia="仿宋" w:hAnsi="仿宋" w:cs="黑体"/>
          <w:color w:val="000000"/>
          <w:kern w:val="0"/>
          <w:sz w:val="32"/>
          <w:szCs w:val="32"/>
        </w:rPr>
      </w:pPr>
      <w:r>
        <w:rPr>
          <w:rFonts w:ascii="仿宋" w:eastAsia="仿宋" w:hAnsi="仿宋" w:cs="黑体" w:hint="eastAsia"/>
          <w:color w:val="000000"/>
          <w:kern w:val="0"/>
          <w:sz w:val="32"/>
          <w:szCs w:val="32"/>
        </w:rPr>
        <w:t>除公司聘请中介机构外，本次交易独立财务顾问中信证券亦已聘请北京市竞天公诚律师事务所作为本次交易的独立财务顾问的券商律师及立信会计师事务所（特殊普通合伙）北京分所作为本次交易的独立财务顾问的券商会计师。本次交易聘请券商律师及券商会计师的费用由中信证券与北京市竞天公诚律师事务所与立信会计师事务</w:t>
      </w:r>
      <w:r>
        <w:rPr>
          <w:rFonts w:ascii="仿宋" w:eastAsia="仿宋" w:hAnsi="仿宋" w:cs="黑体" w:hint="eastAsia"/>
          <w:color w:val="000000"/>
          <w:kern w:val="0"/>
          <w:sz w:val="32"/>
          <w:szCs w:val="32"/>
        </w:rPr>
        <w:t>所（特殊普通合伙）北京分所协商确定，并由中信证券以自有资金支付。</w:t>
      </w:r>
    </w:p>
    <w:p w:rsidR="00EC585C" w:rsidRDefault="00434E08">
      <w:pPr>
        <w:spacing w:line="540" w:lineRule="exact"/>
        <w:ind w:firstLine="640"/>
        <w:rPr>
          <w:rFonts w:ascii="仿宋" w:eastAsia="仿宋" w:hAnsi="仿宋" w:cs="黑体"/>
          <w:color w:val="000000"/>
          <w:kern w:val="0"/>
          <w:sz w:val="32"/>
          <w:szCs w:val="32"/>
        </w:rPr>
      </w:pPr>
      <w:r>
        <w:rPr>
          <w:rFonts w:ascii="仿宋" w:eastAsia="仿宋" w:hAnsi="仿宋" w:cs="黑体" w:hint="eastAsia"/>
          <w:color w:val="000000"/>
          <w:kern w:val="0"/>
          <w:sz w:val="32"/>
          <w:szCs w:val="32"/>
        </w:rPr>
        <w:t>除上述聘请行为外，本次交易不存在直接或间接有偿聘请</w:t>
      </w:r>
      <w:proofErr w:type="gramStart"/>
      <w:r>
        <w:rPr>
          <w:rFonts w:ascii="仿宋" w:eastAsia="仿宋" w:hAnsi="仿宋" w:cs="黑体" w:hint="eastAsia"/>
          <w:color w:val="000000"/>
          <w:kern w:val="0"/>
          <w:sz w:val="32"/>
          <w:szCs w:val="32"/>
        </w:rPr>
        <w:t>其他第三</w:t>
      </w:r>
      <w:proofErr w:type="gramEnd"/>
      <w:r>
        <w:rPr>
          <w:rFonts w:ascii="仿宋" w:eastAsia="仿宋" w:hAnsi="仿宋" w:cs="黑体" w:hint="eastAsia"/>
          <w:color w:val="000000"/>
          <w:kern w:val="0"/>
          <w:sz w:val="32"/>
          <w:szCs w:val="32"/>
        </w:rPr>
        <w:t>方机构或个人的行为。</w:t>
      </w:r>
    </w:p>
    <w:p w:rsidR="00EC585C" w:rsidRDefault="00434E08">
      <w:pPr>
        <w:spacing w:line="540" w:lineRule="exact"/>
        <w:ind w:firstLine="640"/>
        <w:rPr>
          <w:rFonts w:ascii="仿宋" w:eastAsia="仿宋" w:hAnsi="仿宋" w:cs="黑体"/>
          <w:color w:val="000000"/>
          <w:kern w:val="0"/>
          <w:sz w:val="32"/>
          <w:szCs w:val="32"/>
        </w:rPr>
      </w:pPr>
      <w:r>
        <w:rPr>
          <w:rFonts w:ascii="仿宋" w:eastAsia="仿宋" w:hAnsi="仿宋" w:cs="黑体" w:hint="eastAsia"/>
          <w:color w:val="000000"/>
          <w:kern w:val="0"/>
          <w:sz w:val="32"/>
          <w:szCs w:val="32"/>
        </w:rPr>
        <w:t>特此公告。</w:t>
      </w:r>
    </w:p>
    <w:p w:rsidR="00EC585C" w:rsidRDefault="00EC585C">
      <w:pPr>
        <w:ind w:firstLine="480"/>
        <w:rPr>
          <w:rFonts w:ascii="Times New Roman" w:hAnsi="Times New Roman"/>
          <w:sz w:val="24"/>
        </w:rPr>
      </w:pPr>
    </w:p>
    <w:p w:rsidR="00EC585C" w:rsidRDefault="00434E08">
      <w:pPr>
        <w:widowControl/>
        <w:spacing w:line="240" w:lineRule="auto"/>
        <w:ind w:firstLineChars="0" w:firstLine="0"/>
        <w:jc w:val="left"/>
        <w:rPr>
          <w:rFonts w:ascii="Times New Roman" w:hAnsi="Times New Roman"/>
          <w:sz w:val="24"/>
        </w:rPr>
      </w:pPr>
      <w:r>
        <w:rPr>
          <w:rFonts w:ascii="Times New Roman" w:hAnsi="Times New Roman"/>
          <w:sz w:val="24"/>
        </w:rPr>
        <w:br w:type="page"/>
      </w:r>
    </w:p>
    <w:p w:rsidR="00EC585C" w:rsidRDefault="00434E08">
      <w:pPr>
        <w:ind w:firstLine="480"/>
        <w:rPr>
          <w:rFonts w:ascii="Times New Roman" w:hAnsi="Times New Roman"/>
          <w:sz w:val="24"/>
        </w:rPr>
      </w:pPr>
      <w:bookmarkStart w:id="0" w:name="_GoBack"/>
      <w:r>
        <w:rPr>
          <w:rFonts w:ascii="Times New Roman" w:hAnsi="Times New Roman"/>
          <w:noProof/>
          <w:sz w:val="24"/>
        </w:rPr>
        <w:lastRenderedPageBreak/>
        <w:drawing>
          <wp:anchor distT="0" distB="0" distL="114300" distR="114300" simplePos="0" relativeHeight="251659264" behindDoc="0" locked="0" layoutInCell="1" allowOverlap="1">
            <wp:simplePos x="0" y="0"/>
            <wp:positionH relativeFrom="column">
              <wp:posOffset>-1181100</wp:posOffset>
            </wp:positionH>
            <wp:positionV relativeFrom="paragraph">
              <wp:posOffset>-866775</wp:posOffset>
            </wp:positionV>
            <wp:extent cx="7561580" cy="9191625"/>
            <wp:effectExtent l="0" t="0" r="127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7">
                      <a:extLst>
                        <a:ext uri="{28A0092B-C50C-407E-A947-70E740481C1C}">
                          <a14:useLocalDpi xmlns:a14="http://schemas.microsoft.com/office/drawing/2010/main" val="0"/>
                        </a:ext>
                      </a:extLst>
                    </a:blip>
                    <a:srcRect b="13993"/>
                    <a:stretch>
                      <a:fillRect/>
                    </a:stretch>
                  </pic:blipFill>
                  <pic:spPr>
                    <a:xfrm>
                      <a:off x="0" y="0"/>
                      <a:ext cx="7561592" cy="9191625"/>
                    </a:xfrm>
                    <a:prstGeom prst="rect">
                      <a:avLst/>
                    </a:prstGeom>
                    <a:ln>
                      <a:noFill/>
                    </a:ln>
                  </pic:spPr>
                </pic:pic>
              </a:graphicData>
            </a:graphic>
          </wp:anchor>
        </w:drawing>
      </w:r>
      <w:bookmarkEnd w:id="0"/>
    </w:p>
    <w:p w:rsidR="00EC585C" w:rsidRDefault="00EC585C">
      <w:pPr>
        <w:ind w:firstLine="480"/>
        <w:rPr>
          <w:rFonts w:ascii="Times New Roman" w:hAnsi="Times New Roman"/>
          <w:sz w:val="24"/>
        </w:rPr>
      </w:pPr>
    </w:p>
    <w:p w:rsidR="00EC585C" w:rsidRDefault="00434E08">
      <w:pPr>
        <w:autoSpaceDE w:val="0"/>
        <w:autoSpaceDN w:val="0"/>
        <w:adjustRightInd w:val="0"/>
        <w:spacing w:line="540" w:lineRule="exact"/>
        <w:ind w:firstLineChars="1200" w:firstLine="3840"/>
        <w:rPr>
          <w:rFonts w:ascii="仿宋" w:eastAsia="仿宋" w:hAnsi="仿宋" w:cs="黑体"/>
          <w:color w:val="000000"/>
          <w:kern w:val="0"/>
          <w:sz w:val="32"/>
          <w:szCs w:val="32"/>
        </w:rPr>
      </w:pPr>
      <w:r>
        <w:rPr>
          <w:rFonts w:ascii="仿宋" w:eastAsia="仿宋" w:hAnsi="仿宋" w:cs="黑体" w:hint="eastAsia"/>
          <w:color w:val="000000"/>
          <w:kern w:val="0"/>
          <w:sz w:val="32"/>
          <w:szCs w:val="32"/>
        </w:rPr>
        <w:t>沈阳机床股份有限公司董事会</w:t>
      </w:r>
    </w:p>
    <w:p w:rsidR="00EC585C" w:rsidRDefault="00434E08">
      <w:pPr>
        <w:ind w:firstLine="640"/>
        <w:rPr>
          <w:rFonts w:ascii="Times New Roman" w:hAnsi="Times New Roman"/>
          <w:sz w:val="24"/>
        </w:rPr>
      </w:pPr>
      <w:r>
        <w:rPr>
          <w:rFonts w:ascii="仿宋" w:eastAsia="仿宋" w:hAnsi="仿宋" w:cs="黑体" w:hint="eastAsia"/>
          <w:color w:val="000000"/>
          <w:kern w:val="0"/>
          <w:sz w:val="32"/>
          <w:szCs w:val="32"/>
        </w:rPr>
        <w:t xml:space="preserve">                         2</w:t>
      </w:r>
      <w:r>
        <w:rPr>
          <w:rFonts w:ascii="仿宋" w:eastAsia="仿宋" w:hAnsi="仿宋" w:cs="黑体"/>
          <w:color w:val="000000"/>
          <w:kern w:val="0"/>
          <w:sz w:val="32"/>
          <w:szCs w:val="32"/>
        </w:rPr>
        <w:t>024</w:t>
      </w:r>
      <w:r>
        <w:rPr>
          <w:rFonts w:ascii="仿宋" w:eastAsia="仿宋" w:hAnsi="仿宋" w:cs="黑体" w:hint="eastAsia"/>
          <w:color w:val="000000"/>
          <w:kern w:val="0"/>
          <w:sz w:val="32"/>
          <w:szCs w:val="32"/>
        </w:rPr>
        <w:t>年【】月【】日</w:t>
      </w:r>
    </w:p>
    <w:p w:rsidR="00EC585C" w:rsidRDefault="00EC585C">
      <w:pPr>
        <w:ind w:firstLine="420"/>
      </w:pPr>
    </w:p>
    <w:sectPr w:rsidR="00EC585C">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34E08" w:rsidRDefault="00434E08">
      <w:pPr>
        <w:spacing w:line="240" w:lineRule="auto"/>
        <w:ind w:firstLine="420"/>
      </w:pPr>
      <w:r>
        <w:separator/>
      </w:r>
    </w:p>
  </w:endnote>
  <w:endnote w:type="continuationSeparator" w:id="0">
    <w:p w:rsidR="00434E08" w:rsidRDefault="00434E08">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auto"/>
    <w:pitch w:val="variable"/>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585C" w:rsidRDefault="00434E08">
    <w:pPr>
      <w:pStyle w:val="a5"/>
      <w:framePr w:wrap="around" w:vAnchor="text" w:hAnchor="margin" w:xAlign="center" w:y="1"/>
      <w:ind w:firstLine="360"/>
      <w:rPr>
        <w:rStyle w:val="a8"/>
      </w:rPr>
    </w:pPr>
    <w:r>
      <w:rPr>
        <w:rStyle w:val="a8"/>
      </w:rPr>
      <w:fldChar w:fldCharType="begin"/>
    </w:r>
    <w:r>
      <w:rPr>
        <w:rStyle w:val="a8"/>
      </w:rPr>
      <w:instrText xml:space="preserve">PAGE  </w:instrText>
    </w:r>
    <w:r>
      <w:rPr>
        <w:rStyle w:val="a8"/>
      </w:rPr>
      <w:fldChar w:fldCharType="end"/>
    </w:r>
  </w:p>
  <w:p w:rsidR="00EC585C" w:rsidRDefault="00EC585C">
    <w:pPr>
      <w:pStyle w:val="a5"/>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585C" w:rsidRDefault="00717AF3" w:rsidP="00717AF3">
    <w:pPr>
      <w:pStyle w:val="a5"/>
      <w:ind w:firstLineChars="0" w:firstLine="0"/>
      <w:jc w:val="center"/>
      <w:rPr>
        <w:rFonts w:ascii="Times New Roman" w:hAnsi="Times New Roman"/>
        <w:sz w:val="21"/>
        <w:szCs w:val="21"/>
      </w:rPr>
    </w:pPr>
    <w:r w:rsidRPr="00717AF3">
      <w:rPr>
        <w:rFonts w:ascii="Times New Roman" w:hAnsi="Times New Roman"/>
        <w:sz w:val="21"/>
        <w:szCs w:val="21"/>
      </w:rPr>
      <w:fldChar w:fldCharType="begin"/>
    </w:r>
    <w:r w:rsidRPr="00717AF3">
      <w:rPr>
        <w:rFonts w:ascii="Times New Roman" w:hAnsi="Times New Roman"/>
        <w:sz w:val="21"/>
        <w:szCs w:val="21"/>
      </w:rPr>
      <w:instrText>PAGE   \* MERGEFORMAT</w:instrText>
    </w:r>
    <w:r w:rsidRPr="00717AF3">
      <w:rPr>
        <w:rFonts w:ascii="Times New Roman" w:hAnsi="Times New Roman"/>
        <w:sz w:val="21"/>
        <w:szCs w:val="21"/>
      </w:rPr>
      <w:fldChar w:fldCharType="separate"/>
    </w:r>
    <w:r w:rsidRPr="00717AF3">
      <w:rPr>
        <w:rFonts w:ascii="Times New Roman" w:hAnsi="Times New Roman"/>
        <w:noProof/>
        <w:sz w:val="21"/>
        <w:szCs w:val="21"/>
        <w:lang w:val="zh-CN"/>
      </w:rPr>
      <w:t>3</w:t>
    </w:r>
    <w:r w:rsidRPr="00717AF3">
      <w:rPr>
        <w:rFonts w:ascii="Times New Roman" w:hAnsi="Times New Roman"/>
        <w:sz w:val="21"/>
        <w:szCs w:val="21"/>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585C" w:rsidRDefault="00EC585C">
    <w:pPr>
      <w:pStyle w:val="a5"/>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34E08" w:rsidRDefault="00434E08">
      <w:pPr>
        <w:ind w:firstLine="420"/>
      </w:pPr>
      <w:r>
        <w:separator/>
      </w:r>
    </w:p>
  </w:footnote>
  <w:footnote w:type="continuationSeparator" w:id="0">
    <w:p w:rsidR="00434E08" w:rsidRDefault="00434E08">
      <w:pPr>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585C" w:rsidRDefault="00EC585C">
    <w:pPr>
      <w:pStyle w:val="a6"/>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585C" w:rsidRDefault="00EC585C">
    <w:pPr>
      <w:ind w:firstLine="42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585C" w:rsidRDefault="00EC585C">
    <w:pPr>
      <w:pStyle w:val="a6"/>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6519"/>
    <w:rsid w:val="00087A25"/>
    <w:rsid w:val="000B7AB4"/>
    <w:rsid w:val="000D0BA8"/>
    <w:rsid w:val="000E0EE9"/>
    <w:rsid w:val="000E1324"/>
    <w:rsid w:val="000E2C59"/>
    <w:rsid w:val="00170C69"/>
    <w:rsid w:val="001C1895"/>
    <w:rsid w:val="001F3386"/>
    <w:rsid w:val="002E05F6"/>
    <w:rsid w:val="00334B5D"/>
    <w:rsid w:val="003A1113"/>
    <w:rsid w:val="0041170E"/>
    <w:rsid w:val="00434E08"/>
    <w:rsid w:val="004D18E0"/>
    <w:rsid w:val="0052550C"/>
    <w:rsid w:val="005345C7"/>
    <w:rsid w:val="00644653"/>
    <w:rsid w:val="00647356"/>
    <w:rsid w:val="006629E3"/>
    <w:rsid w:val="006E3B6C"/>
    <w:rsid w:val="00700209"/>
    <w:rsid w:val="00717AF3"/>
    <w:rsid w:val="00761F26"/>
    <w:rsid w:val="00791BD3"/>
    <w:rsid w:val="00813954"/>
    <w:rsid w:val="00821140"/>
    <w:rsid w:val="00827CCB"/>
    <w:rsid w:val="008706E7"/>
    <w:rsid w:val="00907861"/>
    <w:rsid w:val="009318A8"/>
    <w:rsid w:val="00990362"/>
    <w:rsid w:val="00A2325C"/>
    <w:rsid w:val="00A46638"/>
    <w:rsid w:val="00AA00D6"/>
    <w:rsid w:val="00B15248"/>
    <w:rsid w:val="00B31BCB"/>
    <w:rsid w:val="00B73934"/>
    <w:rsid w:val="00C36519"/>
    <w:rsid w:val="00C50ADF"/>
    <w:rsid w:val="00D35540"/>
    <w:rsid w:val="00D4197C"/>
    <w:rsid w:val="00D8131F"/>
    <w:rsid w:val="00D834EF"/>
    <w:rsid w:val="00DE2854"/>
    <w:rsid w:val="00DF76D5"/>
    <w:rsid w:val="00E072C8"/>
    <w:rsid w:val="00EC585C"/>
    <w:rsid w:val="00F15A61"/>
    <w:rsid w:val="00F22B77"/>
    <w:rsid w:val="00F37120"/>
    <w:rsid w:val="00F47CB4"/>
    <w:rsid w:val="00FF05A0"/>
    <w:rsid w:val="53354DCB"/>
    <w:rsid w:val="75F909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qFormat="1"/>
    <w:lsdException w:name="footer" w:semiHidden="0" w:qFormat="1"/>
    <w:lsdException w:name="caption" w:uiPriority="35" w:qFormat="1"/>
    <w:lsdException w:name="annotation reference" w:qFormat="1"/>
    <w:lsdException w:name="page number" w:semiHidden="0" w:uiPriority="0"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annotation subject"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ind w:firstLineChars="200" w:firstLine="200"/>
      <w:jc w:val="both"/>
    </w:pPr>
    <w:rPr>
      <w:rFonts w:ascii="Calibri" w:eastAsia="宋体" w:hAnsi="Calibri"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pPr>
      <w:jc w:val="left"/>
    </w:pPr>
  </w:style>
  <w:style w:type="paragraph" w:styleId="a4">
    <w:name w:val="Balloon Text"/>
    <w:basedOn w:val="a"/>
    <w:link w:val="Char0"/>
    <w:uiPriority w:val="99"/>
    <w:semiHidden/>
    <w:unhideWhenUsed/>
    <w:qFormat/>
    <w:pPr>
      <w:spacing w:line="240" w:lineRule="auto"/>
    </w:pPr>
    <w:rPr>
      <w:sz w:val="18"/>
      <w:szCs w:val="18"/>
    </w:rPr>
  </w:style>
  <w:style w:type="paragraph" w:styleId="a5">
    <w:name w:val="footer"/>
    <w:basedOn w:val="a"/>
    <w:link w:val="Char1"/>
    <w:uiPriority w:val="99"/>
    <w:unhideWhenUsed/>
    <w:qFormat/>
    <w:pPr>
      <w:tabs>
        <w:tab w:val="center" w:pos="4153"/>
        <w:tab w:val="right" w:pos="8306"/>
      </w:tabs>
      <w:snapToGrid w:val="0"/>
      <w:spacing w:line="240" w:lineRule="auto"/>
      <w:jc w:val="left"/>
    </w:pPr>
    <w:rPr>
      <w:rFonts w:asciiTheme="minorHAnsi" w:eastAsiaTheme="minorEastAsia" w:hAnsiTheme="minorHAnsi" w:cstheme="minorBidi"/>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spacing w:line="240" w:lineRule="auto"/>
      <w:jc w:val="center"/>
    </w:pPr>
    <w:rPr>
      <w:rFonts w:asciiTheme="minorHAnsi" w:eastAsiaTheme="minorEastAsia" w:hAnsiTheme="minorHAnsi" w:cstheme="minorBidi"/>
      <w:sz w:val="18"/>
      <w:szCs w:val="18"/>
    </w:rPr>
  </w:style>
  <w:style w:type="paragraph" w:styleId="a7">
    <w:name w:val="annotation subject"/>
    <w:basedOn w:val="a3"/>
    <w:next w:val="a3"/>
    <w:link w:val="Char3"/>
    <w:uiPriority w:val="99"/>
    <w:semiHidden/>
    <w:unhideWhenUsed/>
    <w:qFormat/>
    <w:rPr>
      <w:b/>
      <w:bCs/>
    </w:rPr>
  </w:style>
  <w:style w:type="character" w:styleId="a8">
    <w:name w:val="page number"/>
  </w:style>
  <w:style w:type="character" w:styleId="a9">
    <w:name w:val="annotation reference"/>
    <w:basedOn w:val="a0"/>
    <w:uiPriority w:val="99"/>
    <w:semiHidden/>
    <w:unhideWhenUsed/>
    <w:qFormat/>
    <w:rPr>
      <w:sz w:val="21"/>
      <w:szCs w:val="21"/>
    </w:rPr>
  </w:style>
  <w:style w:type="character" w:customStyle="1" w:styleId="Char2">
    <w:name w:val="页眉 Char"/>
    <w:link w:val="a6"/>
    <w:uiPriority w:val="99"/>
    <w:rPr>
      <w:sz w:val="18"/>
      <w:szCs w:val="18"/>
    </w:rPr>
  </w:style>
  <w:style w:type="character" w:customStyle="1" w:styleId="da">
    <w:name w:val="da"/>
    <w:basedOn w:val="a0"/>
    <w:qFormat/>
  </w:style>
  <w:style w:type="character" w:customStyle="1" w:styleId="Char1">
    <w:name w:val="页脚 Char"/>
    <w:link w:val="a5"/>
    <w:uiPriority w:val="99"/>
    <w:qFormat/>
    <w:rPr>
      <w:sz w:val="18"/>
      <w:szCs w:val="18"/>
    </w:rPr>
  </w:style>
  <w:style w:type="character" w:customStyle="1" w:styleId="1">
    <w:name w:val="页脚 字符1"/>
    <w:basedOn w:val="a0"/>
    <w:uiPriority w:val="99"/>
    <w:semiHidden/>
    <w:qFormat/>
    <w:rPr>
      <w:rFonts w:ascii="Calibri" w:eastAsia="宋体" w:hAnsi="Calibri" w:cs="Times New Roman"/>
      <w:sz w:val="18"/>
      <w:szCs w:val="18"/>
    </w:rPr>
  </w:style>
  <w:style w:type="character" w:customStyle="1" w:styleId="10">
    <w:name w:val="页眉 字符1"/>
    <w:basedOn w:val="a0"/>
    <w:uiPriority w:val="99"/>
    <w:semiHidden/>
    <w:rPr>
      <w:rFonts w:ascii="Calibri" w:eastAsia="宋体" w:hAnsi="Calibri" w:cs="Times New Roman"/>
      <w:sz w:val="18"/>
      <w:szCs w:val="18"/>
    </w:rPr>
  </w:style>
  <w:style w:type="character" w:customStyle="1" w:styleId="Char">
    <w:name w:val="批注文字 Char"/>
    <w:basedOn w:val="a0"/>
    <w:link w:val="a3"/>
    <w:uiPriority w:val="99"/>
    <w:rPr>
      <w:rFonts w:ascii="Calibri" w:eastAsia="宋体" w:hAnsi="Calibri" w:cs="Times New Roman"/>
    </w:rPr>
  </w:style>
  <w:style w:type="character" w:customStyle="1" w:styleId="Char3">
    <w:name w:val="批注主题 Char"/>
    <w:basedOn w:val="Char"/>
    <w:link w:val="a7"/>
    <w:uiPriority w:val="99"/>
    <w:semiHidden/>
    <w:qFormat/>
    <w:rPr>
      <w:rFonts w:ascii="Calibri" w:eastAsia="宋体" w:hAnsi="Calibri" w:cs="Times New Roman"/>
      <w:b/>
      <w:bCs/>
    </w:rPr>
  </w:style>
  <w:style w:type="paragraph" w:customStyle="1" w:styleId="11">
    <w:name w:val="修订1"/>
    <w:hidden/>
    <w:uiPriority w:val="99"/>
    <w:semiHidden/>
    <w:rPr>
      <w:rFonts w:ascii="Calibri" w:eastAsia="宋体" w:hAnsi="Calibri" w:cs="Times New Roman"/>
      <w:kern w:val="2"/>
      <w:sz w:val="21"/>
      <w:szCs w:val="22"/>
    </w:rPr>
  </w:style>
  <w:style w:type="character" w:customStyle="1" w:styleId="Char0">
    <w:name w:val="批注框文本 Char"/>
    <w:basedOn w:val="a0"/>
    <w:link w:val="a4"/>
    <w:uiPriority w:val="99"/>
    <w:semiHidden/>
    <w:rPr>
      <w:rFonts w:ascii="Calibri" w:eastAsia="宋体" w:hAnsi="Calibri"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qFormat="1"/>
    <w:lsdException w:name="footer" w:semiHidden="0" w:qFormat="1"/>
    <w:lsdException w:name="caption" w:uiPriority="35" w:qFormat="1"/>
    <w:lsdException w:name="annotation reference" w:qFormat="1"/>
    <w:lsdException w:name="page number" w:semiHidden="0" w:uiPriority="0"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annotation subject"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ind w:firstLineChars="200" w:firstLine="200"/>
      <w:jc w:val="both"/>
    </w:pPr>
    <w:rPr>
      <w:rFonts w:ascii="Calibri" w:eastAsia="宋体" w:hAnsi="Calibri"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pPr>
      <w:jc w:val="left"/>
    </w:pPr>
  </w:style>
  <w:style w:type="paragraph" w:styleId="a4">
    <w:name w:val="Balloon Text"/>
    <w:basedOn w:val="a"/>
    <w:link w:val="Char0"/>
    <w:uiPriority w:val="99"/>
    <w:semiHidden/>
    <w:unhideWhenUsed/>
    <w:qFormat/>
    <w:pPr>
      <w:spacing w:line="240" w:lineRule="auto"/>
    </w:pPr>
    <w:rPr>
      <w:sz w:val="18"/>
      <w:szCs w:val="18"/>
    </w:rPr>
  </w:style>
  <w:style w:type="paragraph" w:styleId="a5">
    <w:name w:val="footer"/>
    <w:basedOn w:val="a"/>
    <w:link w:val="Char1"/>
    <w:uiPriority w:val="99"/>
    <w:unhideWhenUsed/>
    <w:qFormat/>
    <w:pPr>
      <w:tabs>
        <w:tab w:val="center" w:pos="4153"/>
        <w:tab w:val="right" w:pos="8306"/>
      </w:tabs>
      <w:snapToGrid w:val="0"/>
      <w:spacing w:line="240" w:lineRule="auto"/>
      <w:jc w:val="left"/>
    </w:pPr>
    <w:rPr>
      <w:rFonts w:asciiTheme="minorHAnsi" w:eastAsiaTheme="minorEastAsia" w:hAnsiTheme="minorHAnsi" w:cstheme="minorBidi"/>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spacing w:line="240" w:lineRule="auto"/>
      <w:jc w:val="center"/>
    </w:pPr>
    <w:rPr>
      <w:rFonts w:asciiTheme="minorHAnsi" w:eastAsiaTheme="minorEastAsia" w:hAnsiTheme="minorHAnsi" w:cstheme="minorBidi"/>
      <w:sz w:val="18"/>
      <w:szCs w:val="18"/>
    </w:rPr>
  </w:style>
  <w:style w:type="paragraph" w:styleId="a7">
    <w:name w:val="annotation subject"/>
    <w:basedOn w:val="a3"/>
    <w:next w:val="a3"/>
    <w:link w:val="Char3"/>
    <w:uiPriority w:val="99"/>
    <w:semiHidden/>
    <w:unhideWhenUsed/>
    <w:qFormat/>
    <w:rPr>
      <w:b/>
      <w:bCs/>
    </w:rPr>
  </w:style>
  <w:style w:type="character" w:styleId="a8">
    <w:name w:val="page number"/>
  </w:style>
  <w:style w:type="character" w:styleId="a9">
    <w:name w:val="annotation reference"/>
    <w:basedOn w:val="a0"/>
    <w:uiPriority w:val="99"/>
    <w:semiHidden/>
    <w:unhideWhenUsed/>
    <w:qFormat/>
    <w:rPr>
      <w:sz w:val="21"/>
      <w:szCs w:val="21"/>
    </w:rPr>
  </w:style>
  <w:style w:type="character" w:customStyle="1" w:styleId="Char2">
    <w:name w:val="页眉 Char"/>
    <w:link w:val="a6"/>
    <w:uiPriority w:val="99"/>
    <w:rPr>
      <w:sz w:val="18"/>
      <w:szCs w:val="18"/>
    </w:rPr>
  </w:style>
  <w:style w:type="character" w:customStyle="1" w:styleId="da">
    <w:name w:val="da"/>
    <w:basedOn w:val="a0"/>
    <w:qFormat/>
  </w:style>
  <w:style w:type="character" w:customStyle="1" w:styleId="Char1">
    <w:name w:val="页脚 Char"/>
    <w:link w:val="a5"/>
    <w:uiPriority w:val="99"/>
    <w:qFormat/>
    <w:rPr>
      <w:sz w:val="18"/>
      <w:szCs w:val="18"/>
    </w:rPr>
  </w:style>
  <w:style w:type="character" w:customStyle="1" w:styleId="1">
    <w:name w:val="页脚 字符1"/>
    <w:basedOn w:val="a0"/>
    <w:uiPriority w:val="99"/>
    <w:semiHidden/>
    <w:qFormat/>
    <w:rPr>
      <w:rFonts w:ascii="Calibri" w:eastAsia="宋体" w:hAnsi="Calibri" w:cs="Times New Roman"/>
      <w:sz w:val="18"/>
      <w:szCs w:val="18"/>
    </w:rPr>
  </w:style>
  <w:style w:type="character" w:customStyle="1" w:styleId="10">
    <w:name w:val="页眉 字符1"/>
    <w:basedOn w:val="a0"/>
    <w:uiPriority w:val="99"/>
    <w:semiHidden/>
    <w:rPr>
      <w:rFonts w:ascii="Calibri" w:eastAsia="宋体" w:hAnsi="Calibri" w:cs="Times New Roman"/>
      <w:sz w:val="18"/>
      <w:szCs w:val="18"/>
    </w:rPr>
  </w:style>
  <w:style w:type="character" w:customStyle="1" w:styleId="Char">
    <w:name w:val="批注文字 Char"/>
    <w:basedOn w:val="a0"/>
    <w:link w:val="a3"/>
    <w:uiPriority w:val="99"/>
    <w:rPr>
      <w:rFonts w:ascii="Calibri" w:eastAsia="宋体" w:hAnsi="Calibri" w:cs="Times New Roman"/>
    </w:rPr>
  </w:style>
  <w:style w:type="character" w:customStyle="1" w:styleId="Char3">
    <w:name w:val="批注主题 Char"/>
    <w:basedOn w:val="Char"/>
    <w:link w:val="a7"/>
    <w:uiPriority w:val="99"/>
    <w:semiHidden/>
    <w:qFormat/>
    <w:rPr>
      <w:rFonts w:ascii="Calibri" w:eastAsia="宋体" w:hAnsi="Calibri" w:cs="Times New Roman"/>
      <w:b/>
      <w:bCs/>
    </w:rPr>
  </w:style>
  <w:style w:type="paragraph" w:customStyle="1" w:styleId="11">
    <w:name w:val="修订1"/>
    <w:hidden/>
    <w:uiPriority w:val="99"/>
    <w:semiHidden/>
    <w:rPr>
      <w:rFonts w:ascii="Calibri" w:eastAsia="宋体" w:hAnsi="Calibri" w:cs="Times New Roman"/>
      <w:kern w:val="2"/>
      <w:sz w:val="21"/>
      <w:szCs w:val="22"/>
    </w:rPr>
  </w:style>
  <w:style w:type="character" w:customStyle="1" w:styleId="Char0">
    <w:name w:val="批注框文本 Char"/>
    <w:basedOn w:val="a0"/>
    <w:link w:val="a4"/>
    <w:uiPriority w:val="99"/>
    <w:semiHidden/>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131</Words>
  <Characters>750</Characters>
  <Application>Microsoft Office Word</Application>
  <DocSecurity>0</DocSecurity>
  <Lines>6</Lines>
  <Paragraphs>1</Paragraphs>
  <ScaleCrop>false</ScaleCrop>
  <Company/>
  <LinksUpToDate>false</LinksUpToDate>
  <CharactersWithSpaces>880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FD</dc:creator>
  <cp:lastModifiedBy>win10</cp:lastModifiedBy>
  <cp:revision>19</cp:revision>
  <dcterms:created xsi:type="dcterms:W3CDTF">2023-12-13T12:41:00Z</dcterms:created>
  <dcterms:modified xsi:type="dcterms:W3CDTF">2024-04-01T09:43:00Z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4CF6A2AF17A84AF49296FF50C7668665</vt:lpwstr>
  </property>
</Properties>
</file>